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r>
        <w:rPr>
          <w:rFonts w:hint="eastAsia" w:ascii="黑体" w:hAnsi="黑体" w:eastAsia="黑体"/>
          <w:sz w:val="32"/>
          <w:szCs w:val="32"/>
        </w:rPr>
        <w:t>附件1</w:t>
      </w:r>
    </w:p>
    <w:p>
      <w:pPr>
        <w:jc w:val="center"/>
        <w:rPr>
          <w:rFonts w:ascii="方正小标宋简体" w:eastAsia="方正小标宋简体"/>
          <w:sz w:val="36"/>
          <w:szCs w:val="32"/>
        </w:rPr>
      </w:pPr>
      <w:bookmarkStart w:id="0" w:name="_GoBack"/>
      <w:r>
        <w:rPr>
          <w:rFonts w:hint="eastAsia" w:ascii="方正小标宋简体" w:eastAsia="方正小标宋简体"/>
          <w:sz w:val="36"/>
          <w:szCs w:val="32"/>
        </w:rPr>
        <w:t>RCEP项下原产国的判定</w:t>
      </w:r>
      <w:bookmarkEnd w:id="0"/>
    </w:p>
    <w:p>
      <w:pPr>
        <w:rPr>
          <w:rFonts w:ascii="仿宋_GB2312" w:eastAsia="仿宋_GB2312"/>
          <w:sz w:val="32"/>
          <w:szCs w:val="32"/>
        </w:rPr>
      </w:pPr>
      <w:r>
        <w:rPr>
          <w:rFonts w:hint="eastAsia" w:ascii="仿宋_GB2312" w:eastAsia="仿宋_GB2312"/>
          <w:sz w:val="32"/>
          <w:szCs w:val="32"/>
        </w:rPr>
        <w:t xml:space="preserve">    根据《办法》第二章“原产地规则”第十四条至第十六条的规定，货物在出口成员方获得RCEP原产资格后，按照以下顺序判定货物的协定项下原产国。</w:t>
      </w:r>
    </w:p>
    <w:p>
      <w:pPr>
        <w:rPr>
          <w:rFonts w:ascii="仿宋_GB2312" w:eastAsia="仿宋_GB2312"/>
          <w:sz w:val="32"/>
          <w:szCs w:val="32"/>
        </w:rPr>
      </w:pPr>
      <w:r>
        <w:rPr>
          <w:rFonts w:hint="eastAsia" w:ascii="仿宋_GB2312" w:eastAsia="仿宋_GB2312"/>
          <w:sz w:val="32"/>
          <w:szCs w:val="32"/>
        </w:rPr>
        <w:t xml:space="preserve">   （一）如果货物属于《特别货物清单》，则应判断货物在出口成员方的生产是否符合“出口成员方价值成分不低于百分之二十”的要求。如果符合，货物的协定项下原产国就应当为出口成员方。</w:t>
      </w:r>
    </w:p>
    <w:p>
      <w:pPr>
        <w:rPr>
          <w:rFonts w:ascii="仿宋_GB2312" w:eastAsia="仿宋_GB2312"/>
          <w:sz w:val="32"/>
          <w:szCs w:val="32"/>
        </w:rPr>
      </w:pPr>
      <w:r>
        <w:rPr>
          <w:rFonts w:hint="eastAsia" w:ascii="仿宋_GB2312" w:eastAsia="仿宋_GB2312"/>
          <w:sz w:val="32"/>
          <w:szCs w:val="32"/>
        </w:rPr>
        <w:t xml:space="preserve">   （二）如果货物不属于《特别货物清单》，那么分为三种情况来判定货物的协定项下原产国。</w:t>
      </w:r>
    </w:p>
    <w:p>
      <w:pPr>
        <w:rPr>
          <w:rFonts w:ascii="仿宋_GB2312" w:eastAsia="仿宋_GB2312"/>
          <w:sz w:val="32"/>
          <w:szCs w:val="32"/>
        </w:rPr>
      </w:pPr>
      <w:r>
        <w:rPr>
          <w:rFonts w:hint="eastAsia" w:ascii="仿宋_GB2312" w:eastAsia="仿宋_GB2312"/>
          <w:sz w:val="32"/>
          <w:szCs w:val="32"/>
        </w:rPr>
        <w:t xml:space="preserve">    1.如果货物是在出口成员方完全获得或者生产的货物，则货物的协定项下原产国是出口成员方。</w:t>
      </w:r>
    </w:p>
    <w:p>
      <w:pPr>
        <w:rPr>
          <w:rFonts w:ascii="仿宋_GB2312" w:eastAsia="仿宋_GB2312"/>
          <w:sz w:val="32"/>
          <w:szCs w:val="32"/>
        </w:rPr>
      </w:pPr>
      <w:r>
        <w:rPr>
          <w:rFonts w:hint="eastAsia" w:ascii="仿宋_GB2312" w:eastAsia="仿宋_GB2312"/>
          <w:sz w:val="32"/>
          <w:szCs w:val="32"/>
        </w:rPr>
        <w:t xml:space="preserve">    2.如果货物是在出口成员方使用了非原产材料生产并符合“产品特定原产地规则”规定的实质性改变，则该货物的协定项下原产国是出口成员方。</w:t>
      </w:r>
    </w:p>
    <w:p>
      <w:pPr>
        <w:rPr>
          <w:rFonts w:ascii="仿宋_GB2312" w:eastAsia="仿宋_GB2312"/>
          <w:sz w:val="32"/>
          <w:szCs w:val="32"/>
        </w:rPr>
      </w:pPr>
      <w:r>
        <w:rPr>
          <w:rFonts w:hint="eastAsia" w:ascii="仿宋_GB2312" w:eastAsia="仿宋_GB2312"/>
          <w:sz w:val="32"/>
          <w:szCs w:val="32"/>
        </w:rPr>
        <w:t xml:space="preserve">    3.如果货物在出口成员方完全使用原产材料生产，则需要进一步判断货物的生产是否超出《办法》第五条所列微小加工或处理的情况。如果是，则该货物的协定项下原产国是出口成员方。</w:t>
      </w:r>
    </w:p>
    <w:p>
      <w:pPr>
        <w:rPr>
          <w:rFonts w:ascii="仿宋_GB2312" w:eastAsia="仿宋_GB2312"/>
          <w:sz w:val="32"/>
          <w:szCs w:val="32"/>
        </w:rPr>
      </w:pPr>
      <w:r>
        <w:rPr>
          <w:rFonts w:hint="eastAsia" w:ascii="仿宋_GB2312" w:eastAsia="仿宋_GB2312"/>
          <w:sz w:val="32"/>
          <w:szCs w:val="32"/>
        </w:rPr>
        <w:t xml:space="preserve">   （三）如果货物不属于上述情况，那么货物的协定项下原产国应认定为该货物在出口成员方生产中提供最高价值原产材料的成员方。</w:t>
      </w:r>
    </w:p>
    <w:p>
      <w:pPr>
        <w:rPr>
          <w:rFonts w:ascii="仿宋_GB2312" w:eastAsia="仿宋_GB2312"/>
          <w:sz w:val="32"/>
          <w:szCs w:val="32"/>
        </w:rPr>
      </w:pPr>
      <w:r>
        <w:rPr>
          <w:rFonts w:ascii="仿宋_GB2312" w:eastAsia="仿宋_GB2312"/>
          <w:sz w:val="32"/>
          <w:szCs w:val="32"/>
        </w:rPr>
        <w:drawing>
          <wp:inline distT="0" distB="0" distL="0" distR="0">
            <wp:extent cx="5607050" cy="5137150"/>
            <wp:effectExtent l="0" t="0" r="12700" b="6350"/>
            <wp:docPr id="2" name="图片 0" descr="原产国判定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原产国判定流程图.jpg"/>
                    <pic:cNvPicPr>
                      <a:picLocks noChangeAspect="1"/>
                    </pic:cNvPicPr>
                  </pic:nvPicPr>
                  <pic:blipFill>
                    <a:blip r:embed="rId6"/>
                    <a:stretch>
                      <a:fillRect/>
                    </a:stretch>
                  </pic:blipFill>
                  <pic:spPr>
                    <a:xfrm>
                      <a:off x="0" y="0"/>
                      <a:ext cx="5617226" cy="5146532"/>
                    </a:xfrm>
                    <a:prstGeom prst="rect">
                      <a:avLst/>
                    </a:prstGeom>
                  </pic:spPr>
                </pic:pic>
              </a:graphicData>
            </a:graphic>
          </wp:inline>
        </w:drawing>
      </w:r>
    </w:p>
    <w:p>
      <w:pPr>
        <w:widowControl/>
        <w:jc w:val="center"/>
        <w:rPr>
          <w:rFonts w:ascii="黑体" w:hAnsi="黑体" w:eastAsia="黑体"/>
          <w:sz w:val="24"/>
          <w:szCs w:val="32"/>
        </w:rPr>
      </w:pPr>
      <w:r>
        <w:rPr>
          <w:rFonts w:hint="eastAsia" w:ascii="黑体" w:hAnsi="黑体" w:eastAsia="黑体"/>
          <w:sz w:val="24"/>
          <w:szCs w:val="32"/>
        </w:rPr>
        <w:t>RCEP项下原产国判定流程图</w:t>
      </w:r>
    </w:p>
    <w:p>
      <w:pPr>
        <w:widowControl/>
        <w:jc w:val="center"/>
        <w:rPr>
          <w:rFonts w:ascii="黑体" w:hAnsi="黑体" w:eastAsia="黑体"/>
          <w:sz w:val="24"/>
          <w:szCs w:val="32"/>
        </w:rPr>
      </w:pPr>
    </w:p>
    <w:p>
      <w:pPr>
        <w:widowControl/>
        <w:jc w:val="center"/>
        <w:rPr>
          <w:rFonts w:ascii="黑体" w:hAnsi="黑体" w:eastAsia="黑体"/>
          <w:sz w:val="24"/>
          <w:szCs w:val="32"/>
        </w:rPr>
      </w:pPr>
    </w:p>
    <w:p>
      <w:pPr>
        <w:widowControl/>
        <w:jc w:val="center"/>
        <w:rPr>
          <w:rFonts w:ascii="黑体" w:hAnsi="黑体" w:eastAsia="黑体"/>
          <w:sz w:val="24"/>
          <w:szCs w:val="32"/>
        </w:rPr>
      </w:pPr>
    </w:p>
    <w:p>
      <w:pPr>
        <w:widowControl/>
        <w:jc w:val="center"/>
        <w:rPr>
          <w:rFonts w:ascii="黑体" w:hAnsi="黑体" w:eastAsia="黑体"/>
          <w:sz w:val="24"/>
          <w:szCs w:val="32"/>
        </w:rPr>
      </w:pPr>
    </w:p>
    <w:p>
      <w:pPr>
        <w:widowControl/>
        <w:jc w:val="center"/>
        <w:rPr>
          <w:rFonts w:ascii="黑体" w:hAnsi="黑体" w:eastAsia="黑体"/>
          <w:sz w:val="24"/>
          <w:szCs w:val="32"/>
        </w:rPr>
      </w:pPr>
    </w:p>
    <w:p>
      <w:pPr>
        <w:widowControl/>
        <w:jc w:val="center"/>
        <w:rPr>
          <w:rFonts w:ascii="黑体" w:hAnsi="黑体" w:eastAsia="黑体"/>
          <w:sz w:val="24"/>
          <w:szCs w:val="32"/>
        </w:rPr>
      </w:pPr>
    </w:p>
    <w:p>
      <w:pPr>
        <w:widowControl/>
        <w:jc w:val="center"/>
        <w:rPr>
          <w:rFonts w:ascii="黑体" w:hAnsi="黑体" w:eastAsia="黑体"/>
          <w:sz w:val="24"/>
          <w:szCs w:val="32"/>
        </w:rPr>
      </w:pPr>
    </w:p>
    <w:p>
      <w:pPr>
        <w:widowControl/>
        <w:jc w:val="center"/>
        <w:rPr>
          <w:rFonts w:ascii="黑体" w:hAnsi="黑体" w:eastAsia="黑体"/>
          <w:sz w:val="24"/>
          <w:szCs w:val="32"/>
        </w:rPr>
      </w:pPr>
    </w:p>
    <w:p>
      <w:pPr>
        <w:widowControl/>
        <w:jc w:val="center"/>
        <w:rPr>
          <w:rFonts w:ascii="黑体" w:hAnsi="黑体" w:eastAsia="黑体"/>
          <w:sz w:val="24"/>
          <w:szCs w:val="32"/>
        </w:rPr>
      </w:pPr>
    </w:p>
    <w:p>
      <w:pPr>
        <w:widowControl/>
        <w:jc w:val="center"/>
        <w:rPr>
          <w:rFonts w:ascii="黑体" w:hAnsi="黑体" w:eastAsia="黑体"/>
          <w:sz w:val="24"/>
          <w:szCs w:val="32"/>
        </w:rPr>
      </w:pPr>
    </w:p>
    <w:p>
      <w:pPr>
        <w:widowControl/>
        <w:jc w:val="center"/>
        <w:rPr>
          <w:rFonts w:ascii="黑体" w:hAnsi="黑体" w:eastAsia="黑体"/>
          <w:sz w:val="24"/>
          <w:szCs w:val="32"/>
        </w:rPr>
      </w:pPr>
    </w:p>
    <w:p>
      <w:pPr>
        <w:widowControl/>
        <w:jc w:val="center"/>
        <w:rPr>
          <w:rFonts w:ascii="黑体" w:hAnsi="黑体" w:eastAsia="黑体"/>
          <w:sz w:val="24"/>
          <w:szCs w:val="32"/>
        </w:rPr>
      </w:pPr>
    </w:p>
    <w:p>
      <w:pPr>
        <w:widowControl/>
        <w:jc w:val="center"/>
        <w:rPr>
          <w:rFonts w:ascii="黑体" w:hAnsi="黑体" w:eastAsia="黑体"/>
          <w:sz w:val="24"/>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256938"/>
    </w:sdtPr>
    <w:sdtEndPr>
      <w:rPr>
        <w:rFonts w:asciiTheme="minorEastAsia" w:hAnsiTheme="minorEastAsia"/>
        <w:sz w:val="28"/>
        <w:szCs w:val="28"/>
      </w:rPr>
    </w:sdtEndPr>
    <w:sdtContent>
      <w:p>
        <w:pPr>
          <w:pStyle w:val="2"/>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256942"/>
    </w:sdtPr>
    <w:sdtEndPr>
      <w:rPr>
        <w:rFonts w:asciiTheme="minorEastAsia" w:hAnsiTheme="minorEastAsia"/>
        <w:sz w:val="28"/>
        <w:szCs w:val="28"/>
      </w:rPr>
    </w:sdtEndPr>
    <w:sdtContent>
      <w:p>
        <w:pPr>
          <w:pStyle w:val="2"/>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NjE1ZjQyODY1ZjFhNWNkZDJhOGI1MDQ0NDE1MTgifQ=="/>
  </w:docVars>
  <w:rsids>
    <w:rsidRoot w:val="633A4ADB"/>
    <w:rsid w:val="633A4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2024-04-30T03:27:00Z</dcterms:created>
  <dc:creator>落叶乔木</dc:creator>
  <cp:lastModifiedBy>落叶乔木</cp:lastModifiedBy>
  <dcterms:modified xsi:type="dcterms:W3CDTF">2024-04-30T03:28:29Z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CA5708FB6AB14DDD8FEFC079045268D0_11</vt:lpwstr>
  </property>
</Properties>
</file>