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Theme="minorEastAsia" w:hAnsiTheme="minorEastAsia" w:eastAsiaTheme="minorEastAsia"/>
          <w:b/>
          <w:bCs/>
        </w:rPr>
      </w:pPr>
    </w:p>
    <w:p>
      <w:pPr>
        <w:rPr>
          <w:rFonts w:asciiTheme="minorEastAsia" w:hAnsiTheme="minorEastAsia" w:eastAsiaTheme="minorEastAsia"/>
          <w:b/>
          <w:bCs/>
          <w:spacing w:val="26"/>
        </w:rPr>
      </w:pPr>
    </w:p>
    <w:p>
      <w:pPr>
        <w:jc w:val="center"/>
        <w:rPr>
          <w:rFonts w:ascii="Times New Roman" w:hAnsi="宋体"/>
          <w:b/>
          <w:bCs/>
          <w:spacing w:val="26"/>
          <w:kern w:val="2"/>
          <w:sz w:val="84"/>
          <w:szCs w:val="84"/>
          <w:lang w:eastAsia="zh-CN" w:bidi="ar-SA"/>
        </w:rPr>
      </w:pPr>
    </w:p>
    <w:p>
      <w:pPr>
        <w:jc w:val="center"/>
        <w:rPr>
          <w:rFonts w:ascii="Times New Roman" w:hAnsi="宋体"/>
          <w:b/>
          <w:bCs/>
          <w:spacing w:val="26"/>
          <w:kern w:val="2"/>
          <w:sz w:val="84"/>
          <w:szCs w:val="84"/>
          <w:lang w:eastAsia="zh-CN" w:bidi="ar-SA"/>
        </w:rPr>
      </w:pPr>
    </w:p>
    <w:p>
      <w:pPr>
        <w:jc w:val="center"/>
        <w:rPr>
          <w:rFonts w:asciiTheme="minorEastAsia" w:hAnsiTheme="minorEastAsia" w:eastAsiaTheme="minorEastAsia"/>
          <w:b/>
          <w:bCs/>
          <w:spacing w:val="26"/>
          <w:lang w:eastAsia="zh-CN"/>
        </w:rPr>
      </w:pPr>
      <w:r>
        <w:rPr>
          <w:rFonts w:hint="eastAsia" w:ascii="Times New Roman" w:hAnsi="宋体"/>
          <w:b/>
          <w:bCs/>
          <w:spacing w:val="26"/>
          <w:kern w:val="2"/>
          <w:sz w:val="84"/>
          <w:szCs w:val="84"/>
          <w:lang w:eastAsia="zh-CN" w:bidi="ar-SA"/>
        </w:rPr>
        <w:t>招 标 文 件</w:t>
      </w:r>
    </w:p>
    <w:p>
      <w:pPr>
        <w:jc w:val="center"/>
        <w:rPr>
          <w:rFonts w:asciiTheme="minorEastAsia" w:hAnsiTheme="minorEastAsia" w:eastAsiaTheme="minorEastAsia"/>
          <w:b/>
          <w:bCs/>
          <w:spacing w:val="26"/>
          <w:lang w:eastAsia="zh-CN"/>
        </w:rPr>
      </w:pPr>
    </w:p>
    <w:p>
      <w:pPr>
        <w:keepNext w:val="0"/>
        <w:keepLines w:val="0"/>
        <w:widowControl/>
        <w:suppressLineNumbers w:val="0"/>
        <w:jc w:val="center"/>
        <w:rPr>
          <w:rFonts w:hint="eastAsia" w:ascii="Times New Roman" w:hAnsi="宋体"/>
          <w:b/>
          <w:bCs/>
          <w:kern w:val="2"/>
          <w:sz w:val="36"/>
          <w:szCs w:val="36"/>
          <w:lang w:val="en-US" w:eastAsia="zh-CN" w:bidi="ar-SA"/>
        </w:rPr>
      </w:pPr>
      <w:r>
        <w:rPr>
          <w:rFonts w:hint="eastAsia" w:ascii="Times New Roman" w:hAnsi="宋体"/>
          <w:b/>
          <w:bCs/>
          <w:kern w:val="2"/>
          <w:sz w:val="36"/>
          <w:szCs w:val="36"/>
          <w:lang w:eastAsia="zh-CN" w:bidi="ar-SA"/>
        </w:rPr>
        <w:t>项目名称：</w:t>
      </w:r>
      <w:r>
        <w:rPr>
          <w:rFonts w:hint="eastAsia" w:ascii="Times New Roman" w:hAnsi="宋体"/>
          <w:b/>
          <w:bCs/>
          <w:kern w:val="2"/>
          <w:sz w:val="36"/>
          <w:szCs w:val="36"/>
          <w:lang w:val="en-US" w:eastAsia="zh-CN" w:bidi="ar-SA"/>
        </w:rPr>
        <w:t>2023中国（厦门）国际跨境电商展览会</w:t>
      </w:r>
    </w:p>
    <w:p>
      <w:pPr>
        <w:keepNext w:val="0"/>
        <w:keepLines w:val="0"/>
        <w:widowControl/>
        <w:suppressLineNumbers w:val="0"/>
        <w:jc w:val="center"/>
        <w:rPr>
          <w:rFonts w:ascii="Times New Roman" w:hAnsi="宋体"/>
          <w:b/>
          <w:bCs/>
          <w:kern w:val="2"/>
          <w:sz w:val="36"/>
          <w:szCs w:val="36"/>
          <w:lang w:eastAsia="zh-CN" w:bidi="ar-SA"/>
        </w:rPr>
      </w:pPr>
      <w:r>
        <w:rPr>
          <w:rFonts w:hint="eastAsia" w:ascii="Times New Roman" w:hAnsi="宋体"/>
          <w:b/>
          <w:bCs/>
          <w:kern w:val="2"/>
          <w:sz w:val="36"/>
          <w:szCs w:val="36"/>
          <w:lang w:val="en-US" w:eastAsia="zh-CN" w:bidi="ar-SA"/>
        </w:rPr>
        <w:t>综合运营服务</w:t>
      </w:r>
    </w:p>
    <w:p>
      <w:pPr>
        <w:widowControl w:val="0"/>
        <w:adjustRightInd w:val="0"/>
        <w:snapToGrid w:val="0"/>
        <w:spacing w:after="0" w:line="360" w:lineRule="auto"/>
        <w:ind w:right="656" w:rightChars="298"/>
        <w:jc w:val="center"/>
        <w:rPr>
          <w:rFonts w:hint="default" w:ascii="Times New Roman" w:hAnsi="宋体"/>
          <w:b/>
          <w:bCs/>
          <w:kern w:val="2"/>
          <w:sz w:val="36"/>
          <w:szCs w:val="36"/>
          <w:lang w:val="en-US" w:eastAsia="zh-CN" w:bidi="ar-SA"/>
        </w:rPr>
      </w:pPr>
      <w:r>
        <w:rPr>
          <w:rFonts w:hint="eastAsia" w:ascii="Times New Roman" w:hAnsi="宋体"/>
          <w:b/>
          <w:bCs/>
          <w:kern w:val="2"/>
          <w:sz w:val="36"/>
          <w:szCs w:val="36"/>
          <w:lang w:val="en-US" w:eastAsia="zh-CN" w:bidi="ar-SA"/>
        </w:rPr>
        <w:t>招标编号：COICXM-2023-001</w:t>
      </w:r>
    </w:p>
    <w:p>
      <w:pPr>
        <w:widowControl w:val="0"/>
        <w:adjustRightInd w:val="0"/>
        <w:snapToGrid w:val="0"/>
        <w:spacing w:after="0" w:line="360" w:lineRule="auto"/>
        <w:ind w:right="656" w:rightChars="298"/>
        <w:jc w:val="center"/>
        <w:rPr>
          <w:rFonts w:ascii="Times New Roman" w:hAnsi="宋体"/>
          <w:b/>
          <w:bCs/>
          <w:kern w:val="2"/>
          <w:sz w:val="36"/>
          <w:szCs w:val="36"/>
          <w:lang w:eastAsia="zh-CN" w:bidi="ar-SA"/>
        </w:rPr>
      </w:pPr>
      <w:r>
        <w:rPr>
          <w:rFonts w:hint="eastAsia" w:ascii="Times New Roman" w:hAnsi="宋体"/>
          <w:b/>
          <w:bCs/>
          <w:kern w:val="2"/>
          <w:sz w:val="36"/>
          <w:szCs w:val="36"/>
          <w:lang w:eastAsia="zh-CN" w:bidi="ar-SA"/>
        </w:rPr>
        <w:t>招标人：</w:t>
      </w:r>
      <w:r>
        <w:rPr>
          <w:rFonts w:hint="eastAsia" w:ascii="Times New Roman" w:hAnsi="宋体"/>
          <w:b/>
          <w:bCs/>
          <w:kern w:val="2"/>
          <w:sz w:val="36"/>
          <w:szCs w:val="36"/>
          <w:lang w:val="en-US" w:eastAsia="zh-CN" w:bidi="ar-SA"/>
        </w:rPr>
        <w:t>厦门国际商会</w:t>
      </w:r>
    </w:p>
    <w:p>
      <w:pPr>
        <w:widowControl w:val="0"/>
        <w:adjustRightInd w:val="0"/>
        <w:snapToGrid w:val="0"/>
        <w:spacing w:after="0" w:line="360" w:lineRule="auto"/>
        <w:ind w:left="2344" w:leftChars="226" w:right="656" w:rightChars="298" w:hanging="1847" w:hangingChars="511"/>
        <w:jc w:val="both"/>
        <w:rPr>
          <w:rFonts w:ascii="Times New Roman" w:hAnsi="宋体"/>
          <w:b/>
          <w:bCs/>
          <w:kern w:val="2"/>
          <w:sz w:val="36"/>
          <w:szCs w:val="36"/>
          <w:lang w:eastAsia="zh-CN" w:bidi="ar-SA"/>
        </w:rPr>
      </w:pPr>
    </w:p>
    <w:p>
      <w:pPr>
        <w:widowControl w:val="0"/>
        <w:adjustRightInd w:val="0"/>
        <w:snapToGrid w:val="0"/>
        <w:spacing w:after="0" w:line="360" w:lineRule="auto"/>
        <w:ind w:left="2344" w:leftChars="226" w:right="656" w:rightChars="298" w:hanging="1847" w:hangingChars="511"/>
        <w:jc w:val="both"/>
        <w:rPr>
          <w:rFonts w:ascii="Times New Roman" w:hAnsi="宋体"/>
          <w:b/>
          <w:bCs/>
          <w:kern w:val="2"/>
          <w:sz w:val="36"/>
          <w:szCs w:val="36"/>
          <w:lang w:eastAsia="zh-CN" w:bidi="ar-SA"/>
        </w:rPr>
      </w:pPr>
    </w:p>
    <w:p>
      <w:pPr>
        <w:widowControl w:val="0"/>
        <w:adjustRightInd w:val="0"/>
        <w:snapToGrid w:val="0"/>
        <w:spacing w:after="0" w:line="360" w:lineRule="auto"/>
        <w:ind w:left="2344" w:leftChars="226" w:right="656" w:rightChars="298" w:hanging="1847" w:hangingChars="511"/>
        <w:jc w:val="center"/>
        <w:rPr>
          <w:rFonts w:ascii="Times New Roman" w:hAnsi="宋体"/>
          <w:b/>
          <w:bCs/>
          <w:kern w:val="2"/>
          <w:sz w:val="36"/>
          <w:szCs w:val="36"/>
          <w:lang w:eastAsia="zh-CN" w:bidi="ar-SA"/>
        </w:rPr>
        <w:sectPr>
          <w:headerReference r:id="rId5" w:type="default"/>
          <w:footerReference r:id="rId6" w:type="default"/>
          <w:pgSz w:w="11906" w:h="16838"/>
          <w:pgMar w:top="1089" w:right="1599" w:bottom="1089" w:left="1599" w:header="851" w:footer="850" w:gutter="0"/>
          <w:pgNumType w:fmt="decimal" w:start="0"/>
          <w:cols w:space="0" w:num="1"/>
          <w:docGrid w:linePitch="312" w:charSpace="0"/>
        </w:sectPr>
      </w:pPr>
      <w:r>
        <w:rPr>
          <w:rFonts w:hint="eastAsia" w:ascii="Times New Roman" w:hAnsi="宋体"/>
          <w:b/>
          <w:bCs/>
          <w:kern w:val="2"/>
          <w:sz w:val="36"/>
          <w:szCs w:val="36"/>
          <w:lang w:eastAsia="zh-CN" w:bidi="ar-SA"/>
        </w:rPr>
        <w:t>二零</w:t>
      </w:r>
      <w:r>
        <w:rPr>
          <w:rFonts w:hint="eastAsia" w:ascii="Times New Roman" w:hAnsi="宋体"/>
          <w:b/>
          <w:bCs/>
          <w:kern w:val="2"/>
          <w:sz w:val="36"/>
          <w:szCs w:val="36"/>
          <w:lang w:val="en-US" w:eastAsia="zh-CN" w:bidi="ar-SA"/>
        </w:rPr>
        <w:t>二三</w:t>
      </w:r>
      <w:r>
        <w:rPr>
          <w:rFonts w:hint="eastAsia" w:ascii="Times New Roman" w:hAnsi="宋体"/>
          <w:b/>
          <w:bCs/>
          <w:kern w:val="2"/>
          <w:sz w:val="36"/>
          <w:szCs w:val="36"/>
          <w:lang w:eastAsia="zh-CN" w:bidi="ar-SA"/>
        </w:rPr>
        <w:t>年</w:t>
      </w:r>
      <w:r>
        <w:rPr>
          <w:rFonts w:hint="eastAsia" w:ascii="Times New Roman" w:hAnsi="宋体"/>
          <w:b/>
          <w:bCs/>
          <w:kern w:val="2"/>
          <w:sz w:val="36"/>
          <w:szCs w:val="36"/>
          <w:lang w:val="en-US" w:eastAsia="zh-CN" w:bidi="ar-SA"/>
        </w:rPr>
        <w:t>五</w:t>
      </w:r>
      <w:r>
        <w:rPr>
          <w:rFonts w:hint="eastAsia" w:ascii="Times New Roman" w:hAnsi="宋体"/>
          <w:b/>
          <w:bCs/>
          <w:kern w:val="2"/>
          <w:sz w:val="36"/>
          <w:szCs w:val="36"/>
          <w:lang w:eastAsia="zh-CN" w:bidi="ar-SA"/>
        </w:rPr>
        <w:t>月</w:t>
      </w:r>
    </w:p>
    <w:p>
      <w:pPr>
        <w:jc w:val="center"/>
        <w:rPr>
          <w:rFonts w:hint="eastAsia" w:ascii="宋体" w:hAnsi="宋体" w:eastAsia="宋体" w:cs="宋体"/>
          <w:b/>
        </w:rPr>
      </w:pPr>
      <w:bookmarkStart w:id="0" w:name="_Toc47418710"/>
      <w:bookmarkStart w:id="1" w:name="_Toc47262048"/>
      <w:bookmarkStart w:id="2" w:name="_Toc48791214"/>
      <w:bookmarkStart w:id="3" w:name="_Toc47261669"/>
      <w:bookmarkStart w:id="4" w:name="_Toc47418917"/>
      <w:bookmarkStart w:id="5" w:name="_Toc47261864"/>
      <w:bookmarkStart w:id="6" w:name="_Toc48995830"/>
      <w:bookmarkStart w:id="7" w:name="_Toc47261049"/>
      <w:bookmarkStart w:id="8" w:name="_Toc99466899"/>
      <w:bookmarkStart w:id="9" w:name="_Toc47418234"/>
      <w:bookmarkStart w:id="10" w:name="_Toc236555290"/>
      <w:bookmarkStart w:id="11" w:name="_Toc49019215"/>
      <w:bookmarkStart w:id="12" w:name="_Toc324152510"/>
      <w:r>
        <w:rPr>
          <w:rFonts w:hint="eastAsia" w:ascii="宋体" w:hAnsi="宋体" w:eastAsia="宋体" w:cs="宋体"/>
          <w:b/>
        </w:rPr>
        <w:t>目录</w:t>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"_Toc17072"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第一章  投标邀请书</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_Toc17072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"_Toc27239" </w:instrText>
      </w:r>
      <w:r>
        <w:rPr>
          <w:rFonts w:hint="eastAsia" w:ascii="宋体" w:hAnsi="宋体" w:eastAsia="宋体" w:cs="宋体"/>
        </w:rPr>
        <w:fldChar w:fldCharType="separate"/>
      </w:r>
      <w:r>
        <w:rPr>
          <w:rFonts w:hint="eastAsia" w:ascii="宋体" w:hAnsi="宋体" w:eastAsia="宋体" w:cs="宋体"/>
          <w:lang w:eastAsia="zh-CN"/>
        </w:rPr>
        <w:t>1.招标条件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_Toc27239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"_Toc4892" </w:instrText>
      </w:r>
      <w:r>
        <w:rPr>
          <w:rFonts w:hint="eastAsia" w:ascii="宋体" w:hAnsi="宋体" w:eastAsia="宋体" w:cs="宋体"/>
        </w:rPr>
        <w:fldChar w:fldCharType="separate"/>
      </w:r>
      <w:r>
        <w:rPr>
          <w:rFonts w:hint="eastAsia" w:ascii="宋体" w:hAnsi="宋体" w:eastAsia="宋体" w:cs="宋体"/>
          <w:lang w:eastAsia="zh-CN"/>
        </w:rPr>
        <w:t>2.投资来源及预算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_Toc4892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"_Toc14561" </w:instrText>
      </w:r>
      <w:r>
        <w:rPr>
          <w:rFonts w:hint="eastAsia" w:ascii="宋体" w:hAnsi="宋体" w:eastAsia="宋体" w:cs="宋体"/>
        </w:rPr>
        <w:fldChar w:fldCharType="separate"/>
      </w:r>
      <w:r>
        <w:rPr>
          <w:rFonts w:hint="eastAsia" w:ascii="宋体" w:hAnsi="宋体" w:eastAsia="宋体" w:cs="宋体"/>
          <w:lang w:eastAsia="zh-CN"/>
        </w:rPr>
        <w:t>3.招标范围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_Toc14561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4.投标人资格要求.................</w:t>
      </w:r>
      <w:r>
        <w:rPr>
          <w:rFonts w:hint="eastAsia" w:ascii="宋体" w:hAnsi="宋体" w:cs="宋体"/>
          <w:lang w:val="en-US" w:eastAsia="zh-CN"/>
        </w:rPr>
        <w:t>................................</w:t>
      </w:r>
      <w:r>
        <w:rPr>
          <w:rFonts w:hint="eastAsia" w:ascii="宋体" w:hAnsi="宋体" w:eastAsia="宋体" w:cs="宋体"/>
          <w:lang w:val="en-US" w:eastAsia="zh-CN"/>
        </w:rPr>
        <w:t>.........2</w:t>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5.招标文件的获取.......................</w:t>
      </w:r>
      <w:r>
        <w:rPr>
          <w:rFonts w:hint="eastAsia" w:ascii="宋体" w:hAnsi="宋体" w:cs="宋体"/>
          <w:lang w:val="en-US" w:eastAsia="zh-CN"/>
        </w:rPr>
        <w:t>............................</w:t>
      </w:r>
      <w:r>
        <w:rPr>
          <w:rFonts w:hint="eastAsia" w:ascii="宋体" w:hAnsi="宋体" w:eastAsia="宋体" w:cs="宋体"/>
          <w:lang w:val="en-US" w:eastAsia="zh-CN"/>
        </w:rPr>
        <w:t>.......3</w:t>
      </w: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6.投标截止及开标时间与地点..................</w:t>
      </w:r>
      <w:r>
        <w:rPr>
          <w:rFonts w:hint="eastAsia" w:ascii="宋体" w:hAnsi="宋体" w:cs="宋体"/>
          <w:lang w:val="en-US" w:eastAsia="zh-CN"/>
        </w:rPr>
        <w:t>............................</w:t>
      </w:r>
      <w:r>
        <w:rPr>
          <w:rFonts w:hint="eastAsia" w:ascii="宋体" w:hAnsi="宋体" w:eastAsia="宋体" w:cs="宋体"/>
          <w:lang w:val="en-US" w:eastAsia="zh-CN"/>
        </w:rPr>
        <w:t>..3</w:t>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"_Toc11360" </w:instrText>
      </w:r>
      <w:r>
        <w:rPr>
          <w:rFonts w:hint="eastAsia" w:ascii="宋体" w:hAnsi="宋体" w:eastAsia="宋体" w:cs="宋体"/>
        </w:rPr>
        <w:fldChar w:fldCharType="separate"/>
      </w:r>
      <w:r>
        <w:rPr>
          <w:rFonts w:hint="eastAsia" w:ascii="宋体" w:hAnsi="宋体" w:eastAsia="宋体" w:cs="宋体"/>
          <w:lang w:val="en-US" w:eastAsia="zh-CN"/>
        </w:rPr>
        <w:t>7</w:t>
      </w:r>
      <w:r>
        <w:rPr>
          <w:rFonts w:hint="eastAsia" w:ascii="宋体" w:hAnsi="宋体" w:eastAsia="宋体" w:cs="宋体"/>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_Toc11360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"_Toc29811" </w:instrText>
      </w:r>
      <w:r>
        <w:rPr>
          <w:rFonts w:hint="eastAsia" w:ascii="宋体" w:hAnsi="宋体" w:eastAsia="宋体" w:cs="宋体"/>
        </w:rPr>
        <w:fldChar w:fldCharType="separate"/>
      </w:r>
      <w:r>
        <w:rPr>
          <w:rFonts w:hint="eastAsia" w:ascii="宋体" w:hAnsi="宋体" w:eastAsia="宋体" w:cs="宋体"/>
          <w:lang w:val="en-US" w:eastAsia="zh-CN"/>
        </w:rPr>
        <w:t>8</w:t>
      </w:r>
      <w:r>
        <w:rPr>
          <w:rFonts w:hint="eastAsia" w:ascii="宋体" w:hAnsi="宋体" w:eastAsia="宋体" w:cs="宋体"/>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_Toc29811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"_Toc32085"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第二章  投标人须知前附表</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_Toc32085 </w:instrText>
      </w:r>
      <w:r>
        <w:rPr>
          <w:rFonts w:hint="eastAsia" w:ascii="宋体" w:hAnsi="宋体" w:eastAsia="宋体" w:cs="宋体"/>
          <w:b/>
          <w:bCs/>
        </w:rPr>
        <w:fldChar w:fldCharType="separate"/>
      </w:r>
      <w:r>
        <w:rPr>
          <w:rFonts w:hint="eastAsia" w:ascii="宋体" w:hAnsi="宋体" w:eastAsia="宋体" w:cs="宋体"/>
          <w:b/>
          <w:bCs/>
        </w:rPr>
        <w:t>4</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"_Toc2064" </w:instrText>
      </w:r>
      <w:r>
        <w:rPr>
          <w:rFonts w:hint="eastAsia" w:ascii="宋体" w:hAnsi="宋体" w:eastAsia="宋体" w:cs="宋体"/>
        </w:rPr>
        <w:fldChar w:fldCharType="separate"/>
      </w:r>
      <w:r>
        <w:rPr>
          <w:rFonts w:hint="eastAsia" w:ascii="宋体" w:hAnsi="宋体" w:eastAsia="宋体" w:cs="宋体"/>
          <w:b/>
          <w:bCs/>
          <w:kern w:val="44"/>
          <w:lang w:eastAsia="zh-CN"/>
        </w:rPr>
        <w:t>第三章  投标人须知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_Toc2064 </w:instrText>
      </w:r>
      <w:r>
        <w:rPr>
          <w:rFonts w:hint="eastAsia" w:ascii="宋体" w:hAnsi="宋体" w:eastAsia="宋体" w:cs="宋体"/>
          <w:b/>
          <w:bCs/>
        </w:rPr>
        <w:fldChar w:fldCharType="separate"/>
      </w:r>
      <w:r>
        <w:rPr>
          <w:rFonts w:hint="eastAsia" w:ascii="宋体" w:hAnsi="宋体" w:eastAsia="宋体" w:cs="宋体"/>
          <w:b/>
          <w:bCs/>
        </w:rPr>
        <w:t>7</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"_Toc23981" </w:instrText>
      </w:r>
      <w:r>
        <w:rPr>
          <w:rFonts w:hint="eastAsia" w:ascii="宋体" w:hAnsi="宋体" w:eastAsia="宋体" w:cs="宋体"/>
        </w:rPr>
        <w:fldChar w:fldCharType="separate"/>
      </w:r>
      <w:r>
        <w:rPr>
          <w:rFonts w:hint="eastAsia" w:ascii="宋体" w:hAnsi="宋体" w:eastAsia="宋体" w:cs="宋体"/>
          <w:bCs/>
          <w:w w:val="90"/>
          <w:lang w:eastAsia="zh-CN"/>
        </w:rPr>
        <w:t>一、说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_Toc23981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"_Toc2458" </w:instrText>
      </w:r>
      <w:r>
        <w:rPr>
          <w:rFonts w:hint="eastAsia" w:ascii="宋体" w:hAnsi="宋体" w:eastAsia="宋体" w:cs="宋体"/>
        </w:rPr>
        <w:fldChar w:fldCharType="separate"/>
      </w:r>
      <w:r>
        <w:rPr>
          <w:rFonts w:hint="eastAsia" w:ascii="宋体" w:hAnsi="宋体" w:eastAsia="宋体" w:cs="宋体"/>
          <w:bCs/>
          <w:w w:val="90"/>
          <w:lang w:eastAsia="zh-CN"/>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_Toc2458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"_Toc5360" </w:instrText>
      </w:r>
      <w:r>
        <w:rPr>
          <w:rFonts w:hint="eastAsia" w:ascii="宋体" w:hAnsi="宋体" w:eastAsia="宋体" w:cs="宋体"/>
        </w:rPr>
        <w:fldChar w:fldCharType="separate"/>
      </w:r>
      <w:r>
        <w:rPr>
          <w:rFonts w:hint="eastAsia" w:ascii="宋体" w:hAnsi="宋体" w:eastAsia="宋体" w:cs="宋体"/>
          <w:bCs/>
          <w:w w:val="90"/>
          <w:lang w:eastAsia="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_Toc5360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"_Toc17739" </w:instrText>
      </w:r>
      <w:r>
        <w:rPr>
          <w:rFonts w:hint="eastAsia" w:ascii="宋体" w:hAnsi="宋体" w:eastAsia="宋体" w:cs="宋体"/>
        </w:rPr>
        <w:fldChar w:fldCharType="separate"/>
      </w:r>
      <w:r>
        <w:rPr>
          <w:rFonts w:hint="eastAsia" w:ascii="宋体" w:hAnsi="宋体" w:eastAsia="宋体" w:cs="宋体"/>
          <w:bCs/>
          <w:w w:val="90"/>
          <w:lang w:eastAsia="zh-CN"/>
        </w:rPr>
        <w:t>四、投标文件的密封和递交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_Toc17739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"_Toc32280" </w:instrText>
      </w:r>
      <w:r>
        <w:rPr>
          <w:rFonts w:hint="eastAsia" w:ascii="宋体" w:hAnsi="宋体" w:eastAsia="宋体" w:cs="宋体"/>
        </w:rPr>
        <w:fldChar w:fldCharType="separate"/>
      </w:r>
      <w:r>
        <w:rPr>
          <w:rFonts w:hint="eastAsia" w:ascii="宋体" w:hAnsi="宋体" w:eastAsia="宋体" w:cs="宋体"/>
          <w:bCs/>
          <w:w w:val="90"/>
          <w:lang w:eastAsia="zh-CN"/>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_Toc32280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"_Toc29512" </w:instrText>
      </w:r>
      <w:r>
        <w:rPr>
          <w:rFonts w:hint="eastAsia" w:ascii="宋体" w:hAnsi="宋体" w:eastAsia="宋体" w:cs="宋体"/>
        </w:rPr>
        <w:fldChar w:fldCharType="separate"/>
      </w:r>
      <w:r>
        <w:rPr>
          <w:rFonts w:hint="eastAsia" w:ascii="宋体" w:hAnsi="宋体" w:eastAsia="宋体" w:cs="宋体"/>
          <w:bCs/>
          <w:w w:val="90"/>
          <w:lang w:eastAsia="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_Toc29512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"_Toc32096"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第四章  合同专用条款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_Toc32096 </w:instrText>
      </w:r>
      <w:r>
        <w:rPr>
          <w:rFonts w:hint="eastAsia" w:ascii="宋体" w:hAnsi="宋体" w:eastAsia="宋体" w:cs="宋体"/>
          <w:b/>
          <w:bCs/>
        </w:rPr>
        <w:fldChar w:fldCharType="separate"/>
      </w:r>
      <w:r>
        <w:rPr>
          <w:rFonts w:hint="eastAsia" w:ascii="宋体" w:hAnsi="宋体" w:eastAsia="宋体" w:cs="宋体"/>
          <w:b/>
          <w:bCs/>
        </w:rPr>
        <w:t>18</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"_Toc2251"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 xml:space="preserve">第五章 </w:t>
      </w:r>
      <w:r>
        <w:rPr>
          <w:rFonts w:hint="eastAsia" w:ascii="宋体" w:hAnsi="宋体" w:eastAsia="宋体" w:cs="宋体"/>
          <w:b/>
          <w:bCs/>
          <w:kern w:val="44"/>
          <w:szCs w:val="36"/>
          <w:lang w:val="en-US" w:eastAsia="zh-CN" w:bidi="ar-SA"/>
        </w:rPr>
        <w:t xml:space="preserve"> </w:t>
      </w:r>
      <w:r>
        <w:rPr>
          <w:rFonts w:hint="eastAsia" w:ascii="宋体" w:hAnsi="宋体" w:eastAsia="宋体" w:cs="宋体"/>
          <w:b/>
          <w:bCs/>
          <w:kern w:val="44"/>
          <w:szCs w:val="36"/>
          <w:lang w:eastAsia="zh-CN" w:bidi="ar-SA"/>
        </w:rPr>
        <w:t>合同通用条款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_Toc2251 </w:instrText>
      </w:r>
      <w:r>
        <w:rPr>
          <w:rFonts w:hint="eastAsia" w:ascii="宋体" w:hAnsi="宋体" w:eastAsia="宋体" w:cs="宋体"/>
          <w:b/>
          <w:bCs/>
        </w:rPr>
        <w:fldChar w:fldCharType="separate"/>
      </w:r>
      <w:r>
        <w:rPr>
          <w:rFonts w:hint="eastAsia" w:ascii="宋体" w:hAnsi="宋体" w:eastAsia="宋体" w:cs="宋体"/>
          <w:b/>
          <w:bCs/>
        </w:rPr>
        <w:t>19</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"_Toc30053"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第六章  服务及技术要求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_Toc30053 </w:instrText>
      </w:r>
      <w:r>
        <w:rPr>
          <w:rFonts w:hint="eastAsia" w:ascii="宋体" w:hAnsi="宋体" w:eastAsia="宋体" w:cs="宋体"/>
          <w:b/>
          <w:bCs/>
        </w:rPr>
        <w:fldChar w:fldCharType="separate"/>
      </w:r>
      <w:r>
        <w:rPr>
          <w:rFonts w:hint="eastAsia" w:ascii="宋体" w:hAnsi="宋体" w:eastAsia="宋体" w:cs="宋体"/>
          <w:b/>
          <w:bCs/>
        </w:rPr>
        <w:t>20</w:t>
      </w:r>
      <w:r>
        <w:rPr>
          <w:rFonts w:hint="eastAsia" w:ascii="宋体" w:hAnsi="宋体" w:eastAsia="宋体" w:cs="宋体"/>
          <w:b/>
          <w:bCs/>
        </w:rPr>
        <w:fldChar w:fldCharType="end"/>
      </w:r>
      <w:r>
        <w:rPr>
          <w:rFonts w:hint="eastAsia" w:ascii="宋体" w:hAnsi="宋体" w:eastAsia="宋体" w:cs="宋体"/>
          <w:b/>
          <w:bCs/>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"_Toc7995"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 xml:space="preserve">第七章 </w:t>
      </w:r>
      <w:r>
        <w:rPr>
          <w:rFonts w:hint="eastAsia" w:ascii="宋体" w:hAnsi="宋体" w:eastAsia="宋体" w:cs="宋体"/>
          <w:b/>
          <w:bCs/>
          <w:kern w:val="44"/>
          <w:szCs w:val="36"/>
          <w:lang w:val="en-US" w:eastAsia="zh-CN" w:bidi="ar-SA"/>
        </w:rPr>
        <w:t xml:space="preserve"> </w:t>
      </w:r>
      <w:r>
        <w:rPr>
          <w:rFonts w:hint="eastAsia" w:ascii="宋体" w:hAnsi="宋体" w:eastAsia="宋体" w:cs="宋体"/>
          <w:b/>
          <w:bCs/>
          <w:kern w:val="44"/>
          <w:szCs w:val="36"/>
          <w:lang w:eastAsia="zh-CN" w:bidi="ar-SA"/>
        </w:rPr>
        <w:t>附件（投标文件格式）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_Toc7995 </w:instrText>
      </w:r>
      <w:r>
        <w:rPr>
          <w:rFonts w:hint="eastAsia" w:ascii="宋体" w:hAnsi="宋体" w:eastAsia="宋体" w:cs="宋体"/>
          <w:b/>
          <w:bCs/>
        </w:rPr>
        <w:fldChar w:fldCharType="separate"/>
      </w:r>
      <w:r>
        <w:rPr>
          <w:rFonts w:hint="eastAsia" w:ascii="宋体" w:hAnsi="宋体" w:eastAsia="宋体" w:cs="宋体"/>
          <w:b/>
          <w:bCs/>
        </w:rPr>
        <w:t>30</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fldChar w:fldCharType="begin"/>
      </w:r>
      <w:r>
        <w:rPr>
          <w:rFonts w:hint="eastAsia" w:ascii="宋体" w:hAnsi="宋体" w:eastAsia="宋体" w:cs="宋体"/>
        </w:rPr>
        <w:instrText xml:space="preserve"> HYPERLINK \l "_Toc15932" </w:instrText>
      </w:r>
      <w:r>
        <w:rPr>
          <w:rFonts w:hint="eastAsia" w:ascii="宋体" w:hAnsi="宋体" w:eastAsia="宋体" w:cs="宋体"/>
        </w:rPr>
        <w:fldChar w:fldCharType="separate"/>
      </w:r>
      <w:r>
        <w:rPr>
          <w:rFonts w:hint="eastAsia" w:ascii="宋体" w:hAnsi="宋体" w:eastAsia="宋体" w:cs="宋体"/>
          <w:bCs/>
          <w:lang w:eastAsia="zh-CN"/>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_Toc15932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"_Toc2397" </w:instrText>
      </w:r>
      <w:r>
        <w:rPr>
          <w:rFonts w:hint="eastAsia" w:ascii="宋体" w:hAnsi="宋体" w:eastAsia="宋体" w:cs="宋体"/>
        </w:rPr>
        <w:fldChar w:fldCharType="separate"/>
      </w:r>
      <w:r>
        <w:rPr>
          <w:rFonts w:hint="eastAsia" w:ascii="宋体" w:hAnsi="宋体" w:eastAsia="宋体" w:cs="宋体"/>
          <w:bCs/>
          <w:w w:val="90"/>
          <w:lang w:eastAsia="zh-CN"/>
        </w:rPr>
        <w:t>2</w:t>
      </w:r>
      <w:r>
        <w:rPr>
          <w:rFonts w:hint="eastAsia" w:ascii="宋体" w:hAnsi="宋体" w:eastAsia="宋体" w:cs="宋体"/>
          <w:bCs/>
          <w:w w:val="90"/>
          <w:lang w:val="en-US" w:eastAsia="zh-CN"/>
        </w:rPr>
        <w:t>.</w:t>
      </w:r>
      <w:r>
        <w:rPr>
          <w:rFonts w:hint="eastAsia" w:ascii="宋体" w:hAnsi="宋体" w:eastAsia="宋体" w:cs="宋体"/>
          <w:bCs/>
          <w:w w:val="90"/>
          <w:lang w:eastAsia="zh-CN"/>
        </w:rPr>
        <w:t>投标一览表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_Toc2397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"_Toc30332" </w:instrText>
      </w:r>
      <w:r>
        <w:rPr>
          <w:rFonts w:hint="eastAsia" w:ascii="宋体" w:hAnsi="宋体" w:eastAsia="宋体" w:cs="宋体"/>
        </w:rPr>
        <w:fldChar w:fldCharType="separate"/>
      </w:r>
      <w:r>
        <w:rPr>
          <w:rFonts w:hint="eastAsia" w:ascii="宋体" w:hAnsi="宋体" w:eastAsia="宋体" w:cs="宋体"/>
          <w:bCs/>
          <w:w w:val="90"/>
          <w:lang w:eastAsia="zh-CN"/>
        </w:rPr>
        <w:t>3</w:t>
      </w:r>
      <w:r>
        <w:rPr>
          <w:rFonts w:hint="eastAsia" w:ascii="宋体" w:hAnsi="宋体" w:eastAsia="宋体" w:cs="宋体"/>
          <w:bCs/>
          <w:w w:val="90"/>
          <w:lang w:val="en-US" w:eastAsia="zh-CN"/>
        </w:rPr>
        <w:t>.</w:t>
      </w:r>
      <w:r>
        <w:rPr>
          <w:rFonts w:hint="eastAsia" w:ascii="宋体" w:hAnsi="宋体" w:eastAsia="宋体" w:cs="宋体"/>
          <w:bCs/>
          <w:w w:val="90"/>
          <w:lang w:eastAsia="zh-CN"/>
        </w:rPr>
        <w:t>法定代表人授权书格式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_Toc30332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"_Toc11980" </w:instrText>
      </w:r>
      <w:r>
        <w:rPr>
          <w:rFonts w:hint="eastAsia" w:ascii="宋体" w:hAnsi="宋体" w:eastAsia="宋体" w:cs="宋体"/>
        </w:rPr>
        <w:fldChar w:fldCharType="separate"/>
      </w:r>
      <w:r>
        <w:rPr>
          <w:rFonts w:hint="eastAsia" w:ascii="宋体" w:hAnsi="宋体" w:eastAsia="宋体" w:cs="宋体"/>
          <w:bCs/>
          <w:w w:val="90"/>
          <w:lang w:eastAsia="zh-CN"/>
        </w:rPr>
        <w:t>4</w:t>
      </w:r>
      <w:r>
        <w:rPr>
          <w:rFonts w:hint="eastAsia" w:ascii="宋体" w:hAnsi="宋体" w:eastAsia="宋体" w:cs="宋体"/>
          <w:bCs/>
          <w:w w:val="90"/>
          <w:lang w:val="en-US" w:eastAsia="zh-CN"/>
        </w:rPr>
        <w:t>.</w:t>
      </w:r>
      <w:r>
        <w:rPr>
          <w:rFonts w:hint="eastAsia" w:ascii="宋体" w:hAnsi="宋体" w:eastAsia="宋体" w:cs="宋体"/>
          <w:bCs/>
          <w:w w:val="90"/>
          <w:lang w:eastAsia="zh-CN"/>
        </w:rPr>
        <w:t>资格证明文件格式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_Toc11980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"_Toc1349" </w:instrText>
      </w:r>
      <w:r>
        <w:rPr>
          <w:rFonts w:hint="eastAsia" w:ascii="宋体" w:hAnsi="宋体" w:eastAsia="宋体" w:cs="宋体"/>
        </w:rPr>
        <w:fldChar w:fldCharType="separate"/>
      </w:r>
      <w:r>
        <w:rPr>
          <w:rFonts w:hint="eastAsia" w:ascii="宋体" w:hAnsi="宋体" w:eastAsia="宋体" w:cs="宋体"/>
          <w:bCs/>
          <w:w w:val="90"/>
          <w:lang w:eastAsia="zh-CN"/>
        </w:rPr>
        <w:t>5</w:t>
      </w:r>
      <w:r>
        <w:rPr>
          <w:rFonts w:hint="eastAsia" w:ascii="宋体" w:hAnsi="宋体" w:eastAsia="宋体" w:cs="宋体"/>
          <w:bCs/>
          <w:w w:val="90"/>
          <w:lang w:val="en-US" w:eastAsia="zh-CN"/>
        </w:rPr>
        <w:t>.</w:t>
      </w:r>
      <w:r>
        <w:rPr>
          <w:rFonts w:hint="eastAsia" w:ascii="宋体" w:hAnsi="宋体" w:eastAsia="宋体" w:cs="宋体"/>
          <w:bCs/>
          <w:w w:val="90"/>
          <w:lang w:eastAsia="zh-CN"/>
        </w:rPr>
        <w:t>投标人基本情况信息表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_Toc1349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sectPr>
          <w:footerReference r:id="rId7" w:type="default"/>
          <w:pgSz w:w="11906" w:h="16838"/>
          <w:pgMar w:top="1089" w:right="1599" w:bottom="1089" w:left="1599" w:header="851" w:footer="850" w:gutter="0"/>
          <w:pgNumType w:fmt="decimal" w:start="1"/>
          <w:cols w:space="0" w:num="1"/>
          <w:docGrid w:linePitch="312" w:charSpace="0"/>
        </w:sectPr>
      </w:pPr>
    </w:p>
    <w:p>
      <w:pPr>
        <w:pStyle w:val="33"/>
        <w:tabs>
          <w:tab w:val="right" w:leader="dot" w:pos="8708"/>
        </w:tabs>
        <w:ind w:left="440"/>
        <w:rPr>
          <w:rFonts w:hint="eastAsia" w:ascii="宋体" w:hAnsi="宋体" w:eastAsia="宋体" w:cs="宋体"/>
          <w:lang w:val="en-US" w:eastAsia="zh-CN"/>
        </w:rPr>
      </w:pPr>
      <w:r>
        <w:rPr>
          <w:rFonts w:hint="eastAsia" w:ascii="宋体" w:hAnsi="宋体" w:eastAsia="宋体" w:cs="宋体"/>
          <w:lang w:val="en-US" w:eastAsia="zh-CN"/>
        </w:rPr>
        <w:t>6.业绩证明文件...........................................................35</w:t>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"_Toc18509" </w:instrText>
      </w:r>
      <w:r>
        <w:rPr>
          <w:rFonts w:hint="eastAsia" w:ascii="宋体" w:hAnsi="宋体" w:eastAsia="宋体" w:cs="宋体"/>
        </w:rPr>
        <w:fldChar w:fldCharType="separate"/>
      </w:r>
      <w:r>
        <w:rPr>
          <w:rFonts w:hint="eastAsia" w:ascii="宋体" w:hAnsi="宋体" w:eastAsia="宋体" w:cs="宋体"/>
          <w:bCs/>
          <w:w w:val="90"/>
          <w:lang w:eastAsia="zh-CN"/>
        </w:rPr>
        <w:t>7</w:t>
      </w:r>
      <w:r>
        <w:rPr>
          <w:rFonts w:hint="eastAsia" w:ascii="宋体" w:hAnsi="宋体" w:eastAsia="宋体" w:cs="宋体"/>
          <w:bCs/>
          <w:w w:val="90"/>
          <w:lang w:val="en-US" w:eastAsia="zh-CN"/>
        </w:rPr>
        <w:t>.</w:t>
      </w:r>
      <w:r>
        <w:rPr>
          <w:rFonts w:hint="eastAsia" w:ascii="宋体" w:hAnsi="宋体" w:eastAsia="宋体" w:cs="宋体"/>
          <w:bCs/>
          <w:w w:val="90"/>
          <w:lang w:eastAsia="zh-CN"/>
        </w:rPr>
        <w:t>售后服务承诺书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_Toc18509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8708"/>
        </w:tabs>
        <w:rPr>
          <w:rFonts w:hint="eastAsia" w:ascii="宋体" w:hAnsi="宋体" w:eastAsia="宋体" w:cs="宋体"/>
          <w:b/>
          <w:bCs/>
        </w:rPr>
      </w:pPr>
      <w:r>
        <w:rPr>
          <w:rFonts w:hint="eastAsia" w:ascii="宋体" w:hAnsi="宋体" w:eastAsia="宋体" w:cs="宋体"/>
        </w:rPr>
        <w:fldChar w:fldCharType="begin"/>
      </w:r>
      <w:r>
        <w:rPr>
          <w:rFonts w:hint="eastAsia" w:ascii="宋体" w:hAnsi="宋体" w:eastAsia="宋体" w:cs="宋体"/>
        </w:rPr>
        <w:instrText xml:space="preserve"> HYPERLINK \l "_Toc7626" </w:instrText>
      </w:r>
      <w:r>
        <w:rPr>
          <w:rFonts w:hint="eastAsia" w:ascii="宋体" w:hAnsi="宋体" w:eastAsia="宋体" w:cs="宋体"/>
        </w:rPr>
        <w:fldChar w:fldCharType="separate"/>
      </w:r>
      <w:r>
        <w:rPr>
          <w:rFonts w:hint="eastAsia" w:ascii="宋体" w:hAnsi="宋体" w:eastAsia="宋体" w:cs="宋体"/>
          <w:b/>
          <w:bCs/>
          <w:kern w:val="44"/>
          <w:szCs w:val="36"/>
          <w:lang w:eastAsia="zh-CN" w:bidi="ar-SA"/>
        </w:rPr>
        <w:t>第八章 评标标准与方法</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_Toc7626 </w:instrText>
      </w:r>
      <w:r>
        <w:rPr>
          <w:rFonts w:hint="eastAsia" w:ascii="宋体" w:hAnsi="宋体" w:eastAsia="宋体" w:cs="宋体"/>
          <w:b/>
          <w:bCs/>
        </w:rPr>
        <w:fldChar w:fldCharType="separate"/>
      </w:r>
      <w:r>
        <w:rPr>
          <w:rFonts w:hint="eastAsia" w:ascii="宋体" w:hAnsi="宋体" w:eastAsia="宋体" w:cs="宋体"/>
          <w:b/>
          <w:bCs/>
        </w:rPr>
        <w:t>40</w:t>
      </w:r>
      <w:r>
        <w:rPr>
          <w:rFonts w:hint="eastAsia" w:ascii="宋体" w:hAnsi="宋体" w:eastAsia="宋体" w:cs="宋体"/>
          <w:b/>
          <w:bCs/>
        </w:rPr>
        <w:fldChar w:fldCharType="end"/>
      </w:r>
      <w:r>
        <w:rPr>
          <w:rFonts w:hint="eastAsia" w:ascii="宋体" w:hAnsi="宋体" w:eastAsia="宋体" w:cs="宋体"/>
          <w:b/>
          <w:bCs/>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"_Toc11206" </w:instrText>
      </w:r>
      <w:r>
        <w:rPr>
          <w:rFonts w:hint="eastAsia" w:ascii="宋体" w:hAnsi="宋体" w:eastAsia="宋体" w:cs="宋体"/>
        </w:rPr>
        <w:fldChar w:fldCharType="separate"/>
      </w:r>
      <w:r>
        <w:rPr>
          <w:rFonts w:hint="eastAsia" w:ascii="宋体" w:hAnsi="宋体" w:eastAsia="宋体" w:cs="宋体"/>
          <w:lang w:eastAsia="zh-CN"/>
        </w:rPr>
        <w:t>一、评标方法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_Toc11206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"_Toc22508" </w:instrText>
      </w:r>
      <w:r>
        <w:rPr>
          <w:rFonts w:hint="eastAsia" w:ascii="宋体" w:hAnsi="宋体" w:eastAsia="宋体" w:cs="宋体"/>
        </w:rPr>
        <w:fldChar w:fldCharType="separate"/>
      </w:r>
      <w:r>
        <w:rPr>
          <w:rFonts w:hint="eastAsia" w:ascii="宋体" w:hAnsi="宋体" w:eastAsia="宋体" w:cs="宋体"/>
          <w:lang w:eastAsia="zh-CN"/>
        </w:rPr>
        <w:t>二、评标程序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_Toc22508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pPr>
        <w:pStyle w:val="33"/>
        <w:tabs>
          <w:tab w:val="right" w:leader="dot" w:pos="8708"/>
        </w:tabs>
        <w:ind w:left="44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"_Toc3290" </w:instrText>
      </w:r>
      <w:r>
        <w:rPr>
          <w:rFonts w:hint="eastAsia" w:ascii="宋体" w:hAnsi="宋体" w:eastAsia="宋体" w:cs="宋体"/>
        </w:rPr>
        <w:fldChar w:fldCharType="separate"/>
      </w:r>
      <w:r>
        <w:rPr>
          <w:rFonts w:hint="eastAsia" w:ascii="宋体" w:hAnsi="宋体" w:eastAsia="宋体" w:cs="宋体"/>
          <w:lang w:eastAsia="zh-CN"/>
        </w:rPr>
        <w:t>三、评分标准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_Toc3290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jc w:val="center"/>
        <w:rPr>
          <w:rFonts w:cs="宋体" w:asciiTheme="minorEastAsia" w:hAnsiTheme="minorEastAsia" w:eastAsiaTheme="minorEastAsia"/>
        </w:rPr>
      </w:pPr>
      <w:r>
        <w:rPr>
          <w:rFonts w:hint="eastAsia" w:ascii="宋体" w:hAnsi="宋体" w:eastAsia="宋体" w:cs="宋体"/>
        </w:rPr>
        <w:fldChar w:fldCharType="end"/>
      </w:r>
    </w:p>
    <w:p>
      <w:pPr>
        <w:jc w:val="center"/>
        <w:rPr>
          <w:rFonts w:asciiTheme="minorEastAsia" w:hAnsiTheme="minorEastAsia" w:eastAsiaTheme="minorEastAsia"/>
        </w:rPr>
        <w:sectPr>
          <w:footerReference r:id="rId8" w:type="default"/>
          <w:pgSz w:w="11906" w:h="16838"/>
          <w:pgMar w:top="1089" w:right="1599" w:bottom="1089" w:left="1599" w:header="851" w:footer="850" w:gutter="0"/>
          <w:pgNumType w:fmt="decimal"/>
          <w:cols w:space="0" w:num="1"/>
          <w:docGrid w:linePitch="312" w:charSpace="0"/>
        </w:sectPr>
      </w:pPr>
    </w:p>
    <w:p>
      <w:pPr>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keepNext/>
        <w:keepLines/>
        <w:tabs>
          <w:tab w:val="left" w:pos="2160"/>
        </w:tabs>
        <w:snapToGrid w:val="0"/>
        <w:spacing w:before="340" w:after="330" w:line="360" w:lineRule="auto"/>
        <w:jc w:val="center"/>
        <w:outlineLvl w:val="0"/>
        <w:rPr>
          <w:rFonts w:asciiTheme="minorEastAsia" w:hAnsiTheme="minorEastAsia" w:eastAsiaTheme="minorEastAsia"/>
          <w:b/>
          <w:bCs/>
          <w:kern w:val="44"/>
          <w:lang w:eastAsia="zh-CN"/>
        </w:rPr>
      </w:pPr>
      <w:bookmarkStart w:id="13" w:name="_Toc465350681"/>
      <w:bookmarkStart w:id="14" w:name="_Toc17072"/>
      <w:bookmarkStart w:id="15" w:name="_Toc411245395"/>
      <w:r>
        <w:rPr>
          <w:rFonts w:hint="eastAsia" w:ascii="宋体" w:hAnsi="宋体"/>
          <w:b/>
          <w:bCs/>
          <w:kern w:val="44"/>
          <w:sz w:val="44"/>
          <w:szCs w:val="36"/>
          <w:lang w:eastAsia="zh-CN" w:bidi="ar-SA"/>
        </w:rPr>
        <w:t>第一章</w:t>
      </w:r>
      <w:bookmarkEnd w:id="0"/>
      <w:bookmarkEnd w:id="1"/>
      <w:bookmarkEnd w:id="2"/>
      <w:bookmarkEnd w:id="3"/>
      <w:bookmarkEnd w:id="4"/>
      <w:bookmarkEnd w:id="5"/>
      <w:bookmarkEnd w:id="6"/>
      <w:bookmarkEnd w:id="7"/>
      <w:bookmarkEnd w:id="8"/>
      <w:bookmarkEnd w:id="9"/>
      <w:bookmarkEnd w:id="10"/>
      <w:bookmarkEnd w:id="11"/>
      <w:r>
        <w:rPr>
          <w:rFonts w:hint="eastAsia" w:ascii="宋体" w:hAnsi="宋体"/>
          <w:b/>
          <w:bCs/>
          <w:kern w:val="44"/>
          <w:sz w:val="44"/>
          <w:szCs w:val="36"/>
          <w:lang w:eastAsia="zh-CN" w:bidi="ar-SA"/>
        </w:rPr>
        <w:t xml:space="preserve">  投标邀请书</w:t>
      </w:r>
      <w:bookmarkEnd w:id="12"/>
      <w:bookmarkEnd w:id="13"/>
      <w:bookmarkEnd w:id="14"/>
      <w:bookmarkEnd w:id="15"/>
    </w:p>
    <w:p>
      <w:pPr>
        <w:snapToGrid w:val="0"/>
        <w:rPr>
          <w:rFonts w:asciiTheme="minorEastAsia" w:hAnsiTheme="minorEastAsia" w:eastAsiaTheme="minorEastAsia"/>
          <w:b/>
          <w:bCs/>
          <w:lang w:eastAsia="zh-CN"/>
        </w:rPr>
        <w:sectPr>
          <w:footerReference r:id="rId9" w:type="default"/>
          <w:pgSz w:w="11906" w:h="16838"/>
          <w:pgMar w:top="1089" w:right="1599" w:bottom="1089" w:left="1599" w:header="851" w:footer="850" w:gutter="0"/>
          <w:pgNumType w:fmt="decimal" w:start="1"/>
          <w:cols w:space="0" w:num="1"/>
          <w:docGrid w:linePitch="312" w:charSpace="0"/>
        </w:sectPr>
      </w:pPr>
    </w:p>
    <w:p>
      <w:pPr>
        <w:snapToGrid w:val="0"/>
        <w:jc w:val="center"/>
        <w:rPr>
          <w:rFonts w:asciiTheme="minorEastAsia" w:hAnsiTheme="minorEastAsia" w:eastAsiaTheme="minorEastAsia"/>
          <w:b/>
          <w:lang w:eastAsia="zh-CN"/>
        </w:rPr>
      </w:pPr>
      <w:r>
        <w:rPr>
          <w:rFonts w:hint="eastAsia" w:asciiTheme="minorEastAsia" w:hAnsiTheme="minorEastAsia" w:eastAsiaTheme="minorEastAsia"/>
          <w:b/>
          <w:bCs/>
          <w:lang w:eastAsia="zh-CN"/>
        </w:rPr>
        <w:t>投标邀请书</w:t>
      </w:r>
      <w:r>
        <w:rPr>
          <w:rFonts w:hint="eastAsia" w:asciiTheme="minorEastAsia" w:hAnsiTheme="minorEastAsia" w:eastAsiaTheme="minorEastAsia"/>
          <w:b/>
          <w:lang w:eastAsia="zh-CN"/>
        </w:rPr>
        <w:tab/>
      </w:r>
    </w:p>
    <w:p>
      <w:pPr>
        <w:pStyle w:val="490"/>
        <w:snapToGrid w:val="0"/>
        <w:spacing w:before="0" w:line="360" w:lineRule="auto"/>
        <w:outlineLvl w:val="0"/>
        <w:rPr>
          <w:rFonts w:asciiTheme="minorEastAsia" w:hAnsiTheme="minorEastAsia" w:eastAsiaTheme="minorEastAsia"/>
          <w:color w:val="auto"/>
          <w:sz w:val="22"/>
          <w:szCs w:val="22"/>
          <w:lang w:eastAsia="zh-CN"/>
        </w:rPr>
      </w:pPr>
      <w:bookmarkStart w:id="16" w:name="_Toc490297598"/>
      <w:bookmarkStart w:id="17" w:name="_Toc144974480"/>
      <w:bookmarkStart w:id="18" w:name="_Toc152042288"/>
      <w:bookmarkStart w:id="19" w:name="_Toc27239"/>
      <w:bookmarkStart w:id="20" w:name="_Toc152045512"/>
      <w:r>
        <w:rPr>
          <w:rFonts w:asciiTheme="minorEastAsia" w:hAnsiTheme="minorEastAsia" w:eastAsiaTheme="minorEastAsia"/>
          <w:color w:val="auto"/>
          <w:sz w:val="22"/>
          <w:szCs w:val="22"/>
          <w:lang w:eastAsia="zh-CN"/>
        </w:rPr>
        <w:t>1.招标条件</w:t>
      </w:r>
      <w:bookmarkEnd w:id="16"/>
      <w:bookmarkEnd w:id="17"/>
      <w:bookmarkEnd w:id="18"/>
      <w:bookmarkEnd w:id="19"/>
      <w:bookmarkEnd w:id="20"/>
    </w:p>
    <w:p>
      <w:pPr>
        <w:spacing w:line="360" w:lineRule="auto"/>
        <w:ind w:firstLine="440" w:firstLineChars="200"/>
        <w:rPr>
          <w:rFonts w:cs="宋体" w:asciiTheme="minorEastAsia" w:hAnsiTheme="minorEastAsia" w:eastAsiaTheme="minorEastAsia"/>
          <w:lang w:eastAsia="zh-CN"/>
        </w:rPr>
      </w:pPr>
      <w:r>
        <w:rPr>
          <w:rFonts w:asciiTheme="minorEastAsia" w:hAnsiTheme="minorEastAsia" w:eastAsiaTheme="minorEastAsia"/>
          <w:lang w:eastAsia="zh-CN"/>
        </w:rPr>
        <w:t>本招标项目</w:t>
      </w:r>
      <w:r>
        <w:rPr>
          <w:rFonts w:hint="eastAsia" w:asciiTheme="minorEastAsia" w:hAnsiTheme="minorEastAsia" w:eastAsiaTheme="minorEastAsia"/>
          <w:lang w:eastAsia="zh-CN"/>
        </w:rPr>
        <w:t>为2023中国（厦门）国际跨境电商展览会</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w:t>
      </w:r>
      <w:r>
        <w:rPr>
          <w:rFonts w:asciiTheme="minorEastAsia" w:hAnsiTheme="minorEastAsia" w:eastAsiaTheme="minorEastAsia"/>
          <w:lang w:eastAsia="zh-CN"/>
        </w:rPr>
        <w:t>，项目业主为</w:t>
      </w:r>
      <w:r>
        <w:rPr>
          <w:rFonts w:hint="eastAsia" w:asciiTheme="minorEastAsia" w:hAnsiTheme="minorEastAsia" w:eastAsiaTheme="minorEastAsia"/>
          <w:u w:val="single"/>
          <w:lang w:val="en-US" w:eastAsia="zh-CN"/>
        </w:rPr>
        <w:t>厦门国际商会</w:t>
      </w:r>
      <w:r>
        <w:rPr>
          <w:rFonts w:asciiTheme="minorEastAsia" w:hAnsiTheme="minorEastAsia" w:eastAsiaTheme="minorEastAsia"/>
          <w:lang w:eastAsia="zh-CN"/>
        </w:rPr>
        <w:t>，已具备招标条件，现对该项目的</w:t>
      </w:r>
      <w:r>
        <w:rPr>
          <w:rFonts w:hint="eastAsia" w:asciiTheme="minorEastAsia" w:hAnsiTheme="minorEastAsia" w:eastAsiaTheme="minorEastAsia"/>
          <w:lang w:eastAsia="zh-CN"/>
        </w:rPr>
        <w:t>以下内容</w:t>
      </w:r>
      <w:r>
        <w:rPr>
          <w:rFonts w:asciiTheme="minorEastAsia" w:hAnsiTheme="minorEastAsia" w:eastAsiaTheme="minorEastAsia"/>
          <w:lang w:eastAsia="zh-CN"/>
        </w:rPr>
        <w:t>进行</w:t>
      </w:r>
      <w:r>
        <w:rPr>
          <w:rFonts w:hint="eastAsia" w:asciiTheme="minorEastAsia" w:hAnsiTheme="minorEastAsia" w:eastAsiaTheme="minorEastAsia"/>
          <w:lang w:eastAsia="zh-CN"/>
        </w:rPr>
        <w:t>国内</w:t>
      </w:r>
      <w:r>
        <w:rPr>
          <w:rFonts w:asciiTheme="minorEastAsia" w:hAnsiTheme="minorEastAsia" w:eastAsiaTheme="minorEastAsia"/>
          <w:lang w:eastAsia="zh-CN"/>
        </w:rPr>
        <w:t>公开招标。</w:t>
      </w:r>
    </w:p>
    <w:p>
      <w:pPr>
        <w:pStyle w:val="490"/>
        <w:numPr>
          <w:ilvl w:val="0"/>
          <w:numId w:val="29"/>
        </w:numPr>
        <w:snapToGrid w:val="0"/>
        <w:spacing w:before="0" w:line="360" w:lineRule="auto"/>
        <w:outlineLvl w:val="0"/>
        <w:rPr>
          <w:rFonts w:asciiTheme="minorEastAsia" w:hAnsiTheme="minorEastAsia" w:eastAsiaTheme="minorEastAsia" w:cstheme="minorEastAsia"/>
          <w:color w:val="auto"/>
          <w:sz w:val="22"/>
          <w:szCs w:val="22"/>
          <w:lang w:eastAsia="zh-CN"/>
        </w:rPr>
      </w:pPr>
      <w:bookmarkStart w:id="21" w:name="_Toc4892"/>
      <w:bookmarkStart w:id="22" w:name="_Toc152045513"/>
      <w:bookmarkStart w:id="23" w:name="_Toc144974481"/>
      <w:bookmarkStart w:id="24" w:name="_Toc152042289"/>
      <w:bookmarkStart w:id="25" w:name="_Toc490297599"/>
      <w:r>
        <w:rPr>
          <w:rFonts w:hint="eastAsia" w:asciiTheme="minorEastAsia" w:hAnsiTheme="minorEastAsia" w:eastAsiaTheme="minorEastAsia" w:cstheme="minorEastAsia"/>
          <w:color w:val="auto"/>
          <w:sz w:val="22"/>
          <w:szCs w:val="22"/>
          <w:lang w:eastAsia="zh-CN"/>
        </w:rPr>
        <w:t>投资来源及预算：自筹资金。</w:t>
      </w:r>
      <w:bookmarkEnd w:id="21"/>
    </w:p>
    <w:p>
      <w:pPr>
        <w:pStyle w:val="490"/>
        <w:snapToGrid w:val="0"/>
        <w:spacing w:before="0" w:line="360" w:lineRule="auto"/>
        <w:outlineLvl w:val="0"/>
        <w:rPr>
          <w:rFonts w:asciiTheme="minorEastAsia" w:hAnsiTheme="minorEastAsia" w:eastAsiaTheme="minorEastAsia" w:cstheme="minorEastAsia"/>
          <w:color w:val="auto"/>
          <w:sz w:val="22"/>
          <w:szCs w:val="22"/>
          <w:lang w:eastAsia="zh-CN"/>
        </w:rPr>
      </w:pPr>
      <w:bookmarkStart w:id="26" w:name="_Toc14561"/>
      <w:r>
        <w:rPr>
          <w:rFonts w:hint="eastAsia" w:asciiTheme="minorEastAsia" w:hAnsiTheme="minorEastAsia" w:eastAsiaTheme="minorEastAsia" w:cstheme="minorEastAsia"/>
          <w:color w:val="auto"/>
          <w:sz w:val="22"/>
          <w:szCs w:val="22"/>
          <w:lang w:eastAsia="zh-CN"/>
        </w:rPr>
        <w:t>3. 招标范围</w:t>
      </w:r>
      <w:bookmarkEnd w:id="22"/>
      <w:bookmarkEnd w:id="23"/>
      <w:bookmarkEnd w:id="24"/>
      <w:bookmarkEnd w:id="25"/>
      <w:bookmarkEnd w:id="26"/>
      <w:bookmarkStart w:id="27" w:name="_Toc152042290"/>
      <w:bookmarkStart w:id="28" w:name="_Toc144974482"/>
      <w:bookmarkStart w:id="29" w:name="_Toc152045514"/>
    </w:p>
    <w:p>
      <w:pPr>
        <w:snapToGrid w:val="0"/>
        <w:spacing w:line="360" w:lineRule="auto"/>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3.1、项目名称：</w:t>
      </w:r>
      <w:r>
        <w:rPr>
          <w:rFonts w:hint="eastAsia" w:asciiTheme="minorEastAsia" w:hAnsiTheme="minorEastAsia" w:eastAsiaTheme="minorEastAsia"/>
          <w:lang w:eastAsia="zh-CN"/>
        </w:rPr>
        <w:t>2023中国（厦门）国际跨境电商展览会</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w:t>
      </w:r>
    </w:p>
    <w:p>
      <w:pPr>
        <w:snapToGrid w:val="0"/>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3.2、招标内容主要包括：2023中国（厦门）国际跨境电商展览会</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服务（以下简称“</w:t>
      </w:r>
      <w:r>
        <w:rPr>
          <w:rFonts w:hint="eastAsia" w:asciiTheme="minorEastAsia" w:hAnsiTheme="minorEastAsia" w:eastAsiaTheme="minorEastAsia"/>
          <w:lang w:val="en-US" w:eastAsia="zh-CN"/>
        </w:rPr>
        <w:t>2023中跨展</w:t>
      </w:r>
      <w:r>
        <w:rPr>
          <w:rFonts w:hint="eastAsia" w:asciiTheme="minorEastAsia" w:hAnsiTheme="minorEastAsia" w:eastAsiaTheme="minorEastAsia"/>
          <w:lang w:eastAsia="zh-CN"/>
        </w:rPr>
        <w:t>”），具体内容详见技术需求。</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3.3</w:t>
      </w:r>
      <w:r>
        <w:rPr>
          <w:rFonts w:hint="eastAsia" w:cs="宋体" w:asciiTheme="minorEastAsia" w:hAnsiTheme="minorEastAsia" w:eastAsiaTheme="minorEastAsia"/>
          <w:lang w:eastAsia="zh-CN"/>
        </w:rPr>
        <w:t>.项目地点及实施时间：</w:t>
      </w:r>
    </w:p>
    <w:p>
      <w:pPr>
        <w:snapToGrid w:val="0"/>
        <w:spacing w:line="360" w:lineRule="auto"/>
        <w:rPr>
          <w:rFonts w:hint="default" w:asciiTheme="minorEastAsia" w:hAnsiTheme="minorEastAsia" w:eastAsiaTheme="minorEastAsia"/>
          <w:lang w:val="en-US" w:eastAsia="zh-CN"/>
        </w:rPr>
      </w:pPr>
      <w:r>
        <w:rPr>
          <w:rFonts w:asciiTheme="minorEastAsia" w:hAnsiTheme="minorEastAsia" w:eastAsiaTheme="minorEastAsia"/>
          <w:lang w:eastAsia="zh-CN"/>
        </w:rPr>
        <w:t>3.3</w:t>
      </w:r>
      <w:r>
        <w:rPr>
          <w:rFonts w:hint="eastAsia" w:asciiTheme="minorEastAsia" w:hAnsiTheme="minorEastAsia" w:eastAsiaTheme="minorEastAsia"/>
          <w:lang w:eastAsia="zh-CN"/>
        </w:rPr>
        <w:t>.1、</w:t>
      </w:r>
      <w:r>
        <w:rPr>
          <w:rFonts w:hint="eastAsia" w:asciiTheme="minorEastAsia" w:hAnsiTheme="minorEastAsia" w:eastAsiaTheme="minorEastAsia" w:cstheme="minorEastAsia"/>
          <w:lang w:eastAsia="zh-CN"/>
        </w:rPr>
        <w:t>场馆名称：</w:t>
      </w:r>
      <w:r>
        <w:rPr>
          <w:rFonts w:hint="eastAsia" w:asciiTheme="minorEastAsia" w:hAnsiTheme="minorEastAsia" w:eastAsiaTheme="minorEastAsia" w:cstheme="minorEastAsia"/>
          <w:lang w:val="en-US" w:eastAsia="zh-CN"/>
        </w:rPr>
        <w:t>厦门国际会议展览中心</w:t>
      </w:r>
    </w:p>
    <w:p>
      <w:pPr>
        <w:snapToGrid w:val="0"/>
        <w:spacing w:line="360" w:lineRule="auto"/>
        <w:rPr>
          <w:rFonts w:hint="default" w:asciiTheme="minorEastAsia" w:hAnsiTheme="minorEastAsia" w:eastAsiaTheme="minorEastAsia"/>
          <w:lang w:val="en-US"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3.</w:t>
      </w:r>
      <w:r>
        <w:rPr>
          <w:rFonts w:hint="eastAsia" w:asciiTheme="minorEastAsia" w:hAnsiTheme="minorEastAsia" w:eastAsiaTheme="minorEastAsia"/>
          <w:lang w:eastAsia="zh-CN"/>
        </w:rPr>
        <w:t>2、</w:t>
      </w:r>
      <w:r>
        <w:rPr>
          <w:rFonts w:hint="eastAsia" w:asciiTheme="minorEastAsia" w:hAnsiTheme="minorEastAsia" w:eastAsiaTheme="minorEastAsia" w:cstheme="minorEastAsia"/>
          <w:lang w:eastAsia="zh-CN"/>
        </w:rPr>
        <w:t>实施时间：</w:t>
      </w:r>
      <w:r>
        <w:rPr>
          <w:rFonts w:hint="eastAsia" w:asciiTheme="minorEastAsia" w:hAnsiTheme="minorEastAsia" w:eastAsiaTheme="minorEastAsia" w:cstheme="minorEastAsia"/>
          <w:lang w:val="en-US" w:eastAsia="zh-CN"/>
        </w:rPr>
        <w:t>从合同签订日至项目结束</w:t>
      </w:r>
    </w:p>
    <w:p>
      <w:pPr>
        <w:pStyle w:val="491"/>
        <w:spacing w:line="360" w:lineRule="auto"/>
        <w:ind w:firstLine="0" w:firstLineChars="0"/>
        <w:rPr>
          <w:rFonts w:cs="宋体" w:asciiTheme="minorEastAsia" w:hAnsiTheme="minorEastAsia" w:eastAsiaTheme="minorEastAsia"/>
          <w:lang w:eastAsia="zh-CN"/>
        </w:rPr>
      </w:pPr>
      <w:bookmarkStart w:id="30" w:name="_Toc490297600"/>
      <w:r>
        <w:rPr>
          <w:rFonts w:cs="宋体" w:asciiTheme="minorEastAsia" w:hAnsiTheme="minorEastAsia" w:eastAsiaTheme="minorEastAsia"/>
          <w:lang w:eastAsia="zh-CN"/>
        </w:rPr>
        <w:t>4</w:t>
      </w:r>
      <w:r>
        <w:rPr>
          <w:rFonts w:hint="eastAsia" w:cs="宋体" w:asciiTheme="minorEastAsia" w:hAnsiTheme="minorEastAsia" w:eastAsiaTheme="minorEastAsia"/>
          <w:lang w:eastAsia="zh-CN"/>
        </w:rPr>
        <w:t>. 投标人资格要求</w:t>
      </w:r>
      <w:bookmarkEnd w:id="27"/>
      <w:bookmarkEnd w:id="28"/>
      <w:bookmarkEnd w:id="29"/>
      <w:bookmarkEnd w:id="30"/>
    </w:p>
    <w:p>
      <w:pPr>
        <w:pStyle w:val="491"/>
        <w:spacing w:line="360" w:lineRule="auto"/>
        <w:ind w:firstLine="440" w:firstLineChars="200"/>
        <w:rPr>
          <w:rFonts w:hint="eastAsia" w:asciiTheme="minorEastAsia" w:hAnsiTheme="minorEastAsia" w:eastAsiaTheme="minorEastAsia"/>
          <w:lang w:eastAsia="zh-CN"/>
        </w:rPr>
      </w:pPr>
      <w:bookmarkStart w:id="31" w:name="_Toc144974483"/>
      <w:bookmarkStart w:id="32" w:name="_Toc490297601"/>
      <w:bookmarkStart w:id="33" w:name="_Toc152042291"/>
      <w:bookmarkStart w:id="34" w:name="_Toc152045515"/>
      <w:r>
        <w:rPr>
          <w:rFonts w:hint="eastAsia" w:asciiTheme="minorEastAsia" w:hAnsiTheme="minorEastAsia" w:eastAsiaTheme="minorEastAsia"/>
          <w:lang w:eastAsia="zh-CN"/>
        </w:rPr>
        <w:t>凡具备《中华人民共和国政府采购法》第二十二条第一款的条件、有能力提供本投标文件所述货物及服务的境内供货商或制造商均可能成为合格的供应商。供应商须提交以下有效证明文件：</w:t>
      </w:r>
    </w:p>
    <w:p>
      <w:pPr>
        <w:pStyle w:val="491"/>
        <w:spacing w:line="360" w:lineRule="auto"/>
        <w:ind w:left="0" w:leftChars="0"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1投标函。</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2单位负责人授权书（法定代表人和投标代表人身份证复印件）。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3法人或者其他组织的营业执照等证明文件。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5提供投标截止时间前六个月任一个月的依法缴纳税收的凭据；或者提供依法免税的相应证明文件。</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6提供投标截止时间前六个月任一个月的依法缴纳社会保障资金的凭据；或者提供依法不需要缴纳社会保障资金的相应证明文件。</w:t>
      </w:r>
    </w:p>
    <w:p>
      <w:pPr>
        <w:pStyle w:val="491"/>
        <w:spacing w:line="360" w:lineRule="auto"/>
        <w:ind w:firstLine="0" w:firstLineChars="0"/>
        <w:rPr>
          <w:rFonts w:hint="eastAsia" w:asciiTheme="minorEastAsia" w:hAnsiTheme="minorEastAsia" w:eastAsiaTheme="minorEastAsia"/>
          <w:highlight w:val="none"/>
          <w:lang w:val="en-US"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7具有履行合同所必需的</w:t>
      </w:r>
      <w:r>
        <w:rPr>
          <w:rFonts w:hint="eastAsia" w:asciiTheme="minorEastAsia" w:hAnsiTheme="minorEastAsia" w:eastAsiaTheme="minorEastAsia"/>
          <w:lang w:val="en-US" w:eastAsia="zh-CN"/>
        </w:rPr>
        <w:t>行业经验及资金实力</w:t>
      </w:r>
      <w:r>
        <w:rPr>
          <w:rFonts w:hint="eastAsia" w:asciiTheme="minorEastAsia" w:hAnsiTheme="minorEastAsia" w:eastAsiaTheme="minorEastAsia"/>
          <w:lang w:eastAsia="zh-CN"/>
        </w:rPr>
        <w:t>，</w:t>
      </w:r>
      <w:r>
        <w:rPr>
          <w:rFonts w:hint="eastAsia" w:asciiTheme="minorEastAsia" w:hAnsiTheme="minorEastAsia" w:eastAsiaTheme="minorEastAsia"/>
          <w:highlight w:val="none"/>
          <w:lang w:eastAsia="zh-CN"/>
        </w:rPr>
        <w:t>投标公司必须</w:t>
      </w:r>
      <w:r>
        <w:rPr>
          <w:rFonts w:hint="eastAsia" w:asciiTheme="minorEastAsia" w:hAnsiTheme="minorEastAsia" w:eastAsiaTheme="minorEastAsia"/>
          <w:highlight w:val="none"/>
          <w:lang w:val="en-US" w:eastAsia="zh-CN"/>
        </w:rPr>
        <w:t>注册满5年，注册资本需不低于500万元人民币。</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8单位负责人为同一人或者存在控股、管理关系的不同单位，不得参加同一标段或者未划分标段的同一招标项目投标</w:t>
      </w:r>
    </w:p>
    <w:p>
      <w:pPr>
        <w:pStyle w:val="491"/>
        <w:spacing w:line="360" w:lineRule="auto"/>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9本次招标不接受联合体投标。</w:t>
      </w:r>
    </w:p>
    <w:p>
      <w:pPr>
        <w:pStyle w:val="491"/>
        <w:spacing w:line="360" w:lineRule="auto"/>
        <w:ind w:firstLine="440" w:firstLineChars="200"/>
        <w:rPr>
          <w:rFonts w:hint="eastAsia" w:asciiTheme="minorEastAsia" w:hAnsiTheme="minorEastAsia" w:eastAsiaTheme="minorEastAsia"/>
          <w:lang w:eastAsia="zh-CN"/>
        </w:rPr>
      </w:pPr>
      <w:r>
        <w:rPr>
          <w:rFonts w:hint="eastAsia" w:asciiTheme="minorEastAsia" w:hAnsiTheme="minorEastAsia" w:eastAsiaTheme="minorEastAsia"/>
          <w:lang w:eastAsia="zh-CN"/>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5</w:t>
      </w:r>
      <w:r>
        <w:rPr>
          <w:rFonts w:hint="eastAsia" w:cs="宋体" w:asciiTheme="minorEastAsia" w:hAnsiTheme="minorEastAsia" w:eastAsiaTheme="minorEastAsia"/>
          <w:lang w:eastAsia="zh-CN"/>
        </w:rPr>
        <w:t>.招标文件的获取</w:t>
      </w:r>
      <w:bookmarkEnd w:id="31"/>
      <w:bookmarkEnd w:id="32"/>
      <w:bookmarkEnd w:id="33"/>
      <w:bookmarkEnd w:id="34"/>
    </w:p>
    <w:p>
      <w:pPr>
        <w:spacing w:line="360" w:lineRule="auto"/>
        <w:ind w:firstLine="440" w:firstLineChars="200"/>
        <w:rPr>
          <w:rFonts w:hint="default" w:asciiTheme="minorEastAsia" w:hAnsiTheme="minorEastAsia" w:eastAsiaTheme="minorEastAsia"/>
          <w:color w:val="000000"/>
          <w:lang w:val="en-US" w:eastAsia="zh-CN"/>
        </w:rPr>
      </w:pPr>
      <w:bookmarkStart w:id="35" w:name="_Toc152045516"/>
      <w:bookmarkStart w:id="36" w:name="_Toc152042292"/>
      <w:bookmarkStart w:id="37" w:name="_Toc144974484"/>
      <w:bookmarkStart w:id="38" w:name="_Toc490297602"/>
      <w:r>
        <w:rPr>
          <w:rFonts w:hint="eastAsia" w:asciiTheme="minorEastAsia" w:hAnsiTheme="minorEastAsia" w:eastAsiaTheme="minorEastAsia"/>
          <w:color w:val="000000"/>
          <w:lang w:val="en-US" w:eastAsia="zh-CN"/>
        </w:rPr>
        <w:t>（1）登录厦门贸促网</w:t>
      </w:r>
      <w:r>
        <w:rPr>
          <w:rFonts w:hint="eastAsia" w:asciiTheme="minorEastAsia" w:hAnsiTheme="minorEastAsia" w:eastAsiaTheme="minorEastAsia"/>
          <w:color w:val="000000"/>
          <w:highlight w:val="none"/>
          <w:lang w:eastAsia="zh-CN"/>
        </w:rPr>
        <w:t>（http://www.ccpitxiamen.org/）</w:t>
      </w:r>
      <w:r>
        <w:rPr>
          <w:rFonts w:hint="eastAsia" w:asciiTheme="minorEastAsia" w:hAnsiTheme="minorEastAsia" w:eastAsiaTheme="minorEastAsia"/>
          <w:color w:val="000000"/>
          <w:lang w:val="en-US" w:eastAsia="zh-CN"/>
        </w:rPr>
        <w:t>获取。</w:t>
      </w:r>
    </w:p>
    <w:p>
      <w:pPr>
        <w:spacing w:line="360" w:lineRule="auto"/>
        <w:ind w:firstLine="440" w:firstLineChars="200"/>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asciiTheme="minorEastAsia" w:hAnsiTheme="minorEastAsia" w:eastAsiaTheme="minorEastAsia"/>
          <w:color w:val="000000"/>
          <w:lang w:eastAsia="zh-CN"/>
        </w:rPr>
        <w:t>招标文件售价：</w:t>
      </w:r>
      <w:r>
        <w:rPr>
          <w:rFonts w:hint="eastAsia" w:asciiTheme="minorEastAsia" w:hAnsiTheme="minorEastAsia" w:eastAsiaTheme="minorEastAsia"/>
          <w:color w:val="000000"/>
          <w:lang w:val="en-US" w:eastAsia="zh-CN"/>
        </w:rPr>
        <w:t>0元/套</w:t>
      </w:r>
      <w:r>
        <w:rPr>
          <w:rFonts w:asciiTheme="minorEastAsia" w:hAnsiTheme="minorEastAsia" w:eastAsiaTheme="minorEastAsia"/>
          <w:color w:val="000000"/>
          <w:lang w:eastAsia="zh-CN"/>
        </w:rPr>
        <w:t>。</w:t>
      </w:r>
    </w:p>
    <w:p>
      <w:pPr>
        <w:pStyle w:val="491"/>
        <w:spacing w:line="360" w:lineRule="auto"/>
        <w:ind w:firstLine="0" w:firstLineChars="0"/>
        <w:rPr>
          <w:rFonts w:cs="宋体" w:asciiTheme="minorEastAsia" w:hAnsiTheme="minorEastAsia" w:eastAsiaTheme="minorEastAsia"/>
          <w:lang w:eastAsia="zh-CN"/>
        </w:rPr>
      </w:pPr>
      <w:r>
        <w:rPr>
          <w:rFonts w:cs="宋体" w:asciiTheme="minorEastAsia" w:hAnsiTheme="minorEastAsia" w:eastAsiaTheme="minorEastAsia"/>
          <w:lang w:eastAsia="zh-CN"/>
        </w:rPr>
        <w:t>6</w:t>
      </w:r>
      <w:r>
        <w:rPr>
          <w:rFonts w:hint="eastAsia" w:cs="宋体" w:asciiTheme="minorEastAsia" w:hAnsiTheme="minorEastAsia" w:eastAsiaTheme="minorEastAsia"/>
          <w:lang w:eastAsia="zh-CN"/>
        </w:rPr>
        <w:t>.投标截止及开标时间与地点</w:t>
      </w:r>
      <w:bookmarkEnd w:id="35"/>
      <w:bookmarkEnd w:id="36"/>
      <w:bookmarkEnd w:id="37"/>
      <w:bookmarkEnd w:id="38"/>
    </w:p>
    <w:p>
      <w:pPr>
        <w:snapToGrid w:val="0"/>
        <w:spacing w:line="360" w:lineRule="auto"/>
        <w:rPr>
          <w:rFonts w:hint="default" w:asciiTheme="minorEastAsia" w:hAnsiTheme="minorEastAsia" w:eastAsiaTheme="minorEastAsia"/>
          <w:highlight w:val="none"/>
          <w:lang w:val="en-US" w:eastAsia="zh-CN"/>
        </w:rPr>
      </w:pPr>
      <w:r>
        <w:rPr>
          <w:rFonts w:asciiTheme="minorEastAsia" w:hAnsiTheme="minorEastAsia" w:eastAsiaTheme="minorEastAsia"/>
          <w:lang w:eastAsia="zh-CN"/>
        </w:rPr>
        <w:t>6.1投标文件递交的</w:t>
      </w:r>
      <w:r>
        <w:rPr>
          <w:rFonts w:hint="eastAsia" w:asciiTheme="minorEastAsia" w:hAnsiTheme="minorEastAsia" w:eastAsiaTheme="minorEastAsia"/>
          <w:lang w:eastAsia="zh-CN"/>
        </w:rPr>
        <w:t>截止时间及开标时</w:t>
      </w:r>
      <w:r>
        <w:rPr>
          <w:rFonts w:hint="eastAsia" w:asciiTheme="minorEastAsia" w:hAnsiTheme="minorEastAsia" w:eastAsiaTheme="minorEastAsia"/>
          <w:highlight w:val="none"/>
          <w:lang w:eastAsia="zh-CN"/>
        </w:rPr>
        <w:t>间</w:t>
      </w:r>
      <w:r>
        <w:rPr>
          <w:rFonts w:asciiTheme="minorEastAsia" w:hAnsiTheme="minorEastAsia" w:eastAsiaTheme="minorEastAsia"/>
          <w:highlight w:val="none"/>
          <w:lang w:eastAsia="zh-CN"/>
        </w:rPr>
        <w:t>为</w:t>
      </w:r>
      <w:r>
        <w:rPr>
          <w:rFonts w:asciiTheme="minorEastAsia" w:hAnsiTheme="minorEastAsia" w:eastAsiaTheme="minorEastAsia"/>
          <w:highlight w:val="none"/>
          <w:u w:val="single"/>
          <w:lang w:eastAsia="zh-CN"/>
        </w:rPr>
        <w:t xml:space="preserve"> 20</w:t>
      </w:r>
      <w:r>
        <w:rPr>
          <w:rFonts w:hint="eastAsia" w:asciiTheme="minorEastAsia" w:hAnsiTheme="minorEastAsia" w:eastAsiaTheme="minorEastAsia"/>
          <w:highlight w:val="none"/>
          <w:u w:val="single"/>
          <w:lang w:val="en-US" w:eastAsia="zh-CN"/>
        </w:rPr>
        <w:t xml:space="preserve">23 </w:t>
      </w:r>
      <w:r>
        <w:rPr>
          <w:rFonts w:asciiTheme="minorEastAsia" w:hAnsiTheme="minorEastAsia" w:eastAsiaTheme="minorEastAsia"/>
          <w:highlight w:val="none"/>
          <w:lang w:eastAsia="zh-CN"/>
        </w:rPr>
        <w:t>年</w:t>
      </w:r>
      <w:r>
        <w:rPr>
          <w:rFonts w:hint="eastAsia" w:asciiTheme="minorEastAsia" w:hAnsiTheme="minorEastAsia" w:eastAsiaTheme="minorEastAsia"/>
          <w:highlight w:val="none"/>
          <w:u w:val="single"/>
          <w:lang w:val="en-US" w:eastAsia="zh-CN"/>
        </w:rPr>
        <w:t xml:space="preserve"> 5 </w:t>
      </w:r>
      <w:r>
        <w:rPr>
          <w:rFonts w:asciiTheme="minorEastAsia" w:hAnsiTheme="minorEastAsia" w:eastAsiaTheme="minorEastAsia"/>
          <w:highlight w:val="none"/>
          <w:lang w:eastAsia="zh-CN"/>
        </w:rPr>
        <w:t>月</w:t>
      </w:r>
      <w:r>
        <w:rPr>
          <w:rFonts w:hint="eastAsia" w:asciiTheme="minorEastAsia" w:hAnsiTheme="minorEastAsia" w:eastAsiaTheme="minorEastAsia"/>
          <w:highlight w:val="none"/>
          <w:u w:val="single"/>
          <w:lang w:val="en-US" w:eastAsia="zh-CN"/>
        </w:rPr>
        <w:t xml:space="preserve">  12  </w:t>
      </w:r>
      <w:r>
        <w:rPr>
          <w:rFonts w:asciiTheme="minorEastAsia" w:hAnsiTheme="minorEastAsia" w:eastAsiaTheme="minorEastAsia"/>
          <w:highlight w:val="none"/>
          <w:lang w:eastAsia="zh-CN"/>
        </w:rPr>
        <w:t>日</w:t>
      </w:r>
      <w:r>
        <w:rPr>
          <w:rFonts w:asciiTheme="minorEastAsia" w:hAnsiTheme="minorEastAsia" w:eastAsiaTheme="minorEastAsia"/>
          <w:highlight w:val="none"/>
          <w:u w:val="single"/>
          <w:lang w:eastAsia="zh-CN"/>
        </w:rPr>
        <w:t xml:space="preserve"> </w:t>
      </w:r>
      <w:r>
        <w:rPr>
          <w:rFonts w:hint="eastAsia" w:asciiTheme="minorEastAsia" w:hAnsiTheme="minorEastAsia" w:eastAsiaTheme="minorEastAsia"/>
          <w:highlight w:val="none"/>
          <w:u w:val="single"/>
          <w:lang w:val="en-US" w:eastAsia="zh-CN"/>
        </w:rPr>
        <w:t>9</w:t>
      </w:r>
      <w:r>
        <w:rPr>
          <w:rFonts w:asciiTheme="minorEastAsia" w:hAnsiTheme="minorEastAsia" w:eastAsiaTheme="minorEastAsia"/>
          <w:highlight w:val="none"/>
          <w:u w:val="single"/>
          <w:lang w:eastAsia="zh-CN"/>
        </w:rPr>
        <w:t xml:space="preserve"> </w:t>
      </w:r>
      <w:r>
        <w:rPr>
          <w:rFonts w:asciiTheme="minorEastAsia" w:hAnsiTheme="minorEastAsia" w:eastAsiaTheme="minorEastAsia"/>
          <w:highlight w:val="none"/>
          <w:lang w:eastAsia="zh-CN"/>
        </w:rPr>
        <w:t>时</w:t>
      </w:r>
      <w:r>
        <w:rPr>
          <w:rFonts w:asciiTheme="minorEastAsia" w:hAnsiTheme="minorEastAsia" w:eastAsiaTheme="minorEastAsia"/>
          <w:highlight w:val="none"/>
          <w:u w:val="single"/>
          <w:lang w:eastAsia="zh-CN"/>
        </w:rPr>
        <w:t xml:space="preserve"> </w:t>
      </w:r>
      <w:r>
        <w:rPr>
          <w:rFonts w:hint="eastAsia" w:asciiTheme="minorEastAsia" w:hAnsiTheme="minorEastAsia" w:eastAsiaTheme="minorEastAsia"/>
          <w:highlight w:val="none"/>
          <w:u w:val="single"/>
          <w:lang w:val="en-US" w:eastAsia="zh-CN"/>
        </w:rPr>
        <w:t>00</w:t>
      </w:r>
      <w:r>
        <w:rPr>
          <w:rFonts w:asciiTheme="minorEastAsia" w:hAnsiTheme="minorEastAsia" w:eastAsiaTheme="minorEastAsia"/>
          <w:highlight w:val="none"/>
          <w:lang w:eastAsia="zh-CN"/>
        </w:rPr>
        <w:t>分，地点</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厦门市思明区白鹭洲路199号普利花园大厦13楼小会议室。</w:t>
      </w:r>
    </w:p>
    <w:p>
      <w:pPr>
        <w:snapToGrid w:val="0"/>
        <w:spacing w:line="360" w:lineRule="auto"/>
        <w:rPr>
          <w:rFonts w:hint="default" w:asciiTheme="minorEastAsia" w:hAnsiTheme="minorEastAsia" w:eastAsiaTheme="minorEastAsia"/>
          <w:highlight w:val="none"/>
          <w:lang w:val="en-US" w:eastAsia="zh-CN"/>
        </w:rPr>
      </w:pPr>
      <w:r>
        <w:rPr>
          <w:rFonts w:asciiTheme="minorEastAsia" w:hAnsiTheme="minorEastAsia" w:eastAsiaTheme="minorEastAsia"/>
          <w:highlight w:val="none"/>
          <w:lang w:eastAsia="zh-CN"/>
        </w:rPr>
        <w:t>6</w:t>
      </w:r>
      <w:r>
        <w:rPr>
          <w:rFonts w:hint="eastAsia" w:asciiTheme="minorEastAsia" w:hAnsiTheme="minorEastAsia" w:eastAsiaTheme="minorEastAsia"/>
          <w:highlight w:val="none"/>
          <w:lang w:eastAsia="zh-CN"/>
        </w:rPr>
        <w:t>.2开标地点：</w:t>
      </w:r>
      <w:r>
        <w:rPr>
          <w:rFonts w:hint="eastAsia" w:asciiTheme="minorEastAsia" w:hAnsiTheme="minorEastAsia" w:eastAsiaTheme="minorEastAsia"/>
          <w:highlight w:val="none"/>
          <w:lang w:val="en-US" w:eastAsia="zh-CN"/>
        </w:rPr>
        <w:t>厦门市思明区白鹭洲路199号普利花园大厦13楼大会议室。</w:t>
      </w:r>
      <w:bookmarkStart w:id="282" w:name="_GoBack"/>
      <w:bookmarkEnd w:id="282"/>
    </w:p>
    <w:p>
      <w:pPr>
        <w:snapToGrid w:val="0"/>
        <w:spacing w:line="360" w:lineRule="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.3投标文件请于开标当日（投标截止时间之前）递交至开标地点。逾期收到或不符合规定的投标文件恕不接受。</w:t>
      </w:r>
    </w:p>
    <w:p>
      <w:pPr>
        <w:snapToGrid w:val="0"/>
        <w:spacing w:line="360" w:lineRule="auto"/>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.4届时请投标人派代表参加开标仪式。</w:t>
      </w:r>
    </w:p>
    <w:p>
      <w:pPr>
        <w:pStyle w:val="490"/>
        <w:snapToGrid w:val="0"/>
        <w:spacing w:before="0"/>
        <w:outlineLvl w:val="0"/>
        <w:rPr>
          <w:rFonts w:cs="黑体" w:asciiTheme="minorEastAsia" w:hAnsiTheme="minorEastAsia" w:eastAsiaTheme="minorEastAsia"/>
          <w:color w:val="auto"/>
          <w:sz w:val="22"/>
          <w:szCs w:val="22"/>
          <w:highlight w:val="none"/>
        </w:rPr>
      </w:pPr>
      <w:bookmarkStart w:id="39" w:name="_Toc11360"/>
      <w:bookmarkStart w:id="40" w:name="_Toc157499355"/>
      <w:bookmarkStart w:id="41" w:name="_Toc490297604"/>
      <w:r>
        <w:rPr>
          <w:rFonts w:hint="eastAsia" w:cs="黑体" w:asciiTheme="minorEastAsia" w:hAnsiTheme="minorEastAsia" w:eastAsiaTheme="minorEastAsia"/>
          <w:color w:val="auto"/>
          <w:sz w:val="22"/>
          <w:szCs w:val="22"/>
          <w:highlight w:val="none"/>
          <w:lang w:val="en-US" w:eastAsia="zh-CN"/>
        </w:rPr>
        <w:t>7</w:t>
      </w:r>
      <w:r>
        <w:rPr>
          <w:rFonts w:hint="eastAsia" w:cs="黑体" w:asciiTheme="minorEastAsia" w:hAnsiTheme="minorEastAsia" w:eastAsiaTheme="minorEastAsia"/>
          <w:color w:val="auto"/>
          <w:sz w:val="22"/>
          <w:szCs w:val="22"/>
          <w:highlight w:val="none"/>
        </w:rPr>
        <w:t>. 发布公告的媒介</w:t>
      </w:r>
      <w:bookmarkEnd w:id="39"/>
      <w:bookmarkEnd w:id="40"/>
      <w:bookmarkEnd w:id="41"/>
    </w:p>
    <w:p>
      <w:pPr>
        <w:snapToGrid w:val="0"/>
        <w:spacing w:line="400" w:lineRule="exact"/>
        <w:ind w:firstLine="440" w:firstLineChars="200"/>
        <w:rPr>
          <w:rFonts w:asciiTheme="minorEastAsia" w:hAnsiTheme="minorEastAsia" w:eastAsiaTheme="minorEastAsia"/>
          <w:highlight w:val="none"/>
        </w:rPr>
      </w:pPr>
      <w:r>
        <w:rPr>
          <w:rFonts w:hint="eastAsia" w:asciiTheme="minorEastAsia" w:hAnsiTheme="minorEastAsia" w:eastAsiaTheme="minorEastAsia"/>
          <w:color w:val="000000"/>
          <w:highlight w:val="none"/>
        </w:rPr>
        <w:t>本次招标公告在</w:t>
      </w:r>
      <w:r>
        <w:rPr>
          <w:rFonts w:hint="eastAsia" w:asciiTheme="minorEastAsia" w:hAnsiTheme="minorEastAsia" w:eastAsiaTheme="minorEastAsia"/>
          <w:color w:val="000000"/>
          <w:highlight w:val="none"/>
          <w:lang w:val="en-US" w:eastAsia="zh-CN"/>
        </w:rPr>
        <w:t>厦门贸促网</w:t>
      </w:r>
      <w:r>
        <w:rPr>
          <w:rFonts w:hint="eastAsia" w:asciiTheme="minorEastAsia" w:hAnsiTheme="minorEastAsia" w:eastAsiaTheme="minorEastAsia"/>
          <w:color w:val="000000"/>
          <w:highlight w:val="none"/>
          <w:lang w:eastAsia="zh-CN"/>
        </w:rPr>
        <w:t>（http://www.ccpitxiamen.org/）</w:t>
      </w:r>
      <w:r>
        <w:rPr>
          <w:rFonts w:hint="eastAsia" w:asciiTheme="minorEastAsia" w:hAnsiTheme="minorEastAsia" w:eastAsiaTheme="minorEastAsia"/>
          <w:color w:val="000000"/>
          <w:highlight w:val="none"/>
        </w:rPr>
        <w:t>发布</w:t>
      </w:r>
      <w:r>
        <w:rPr>
          <w:rFonts w:hint="eastAsia" w:asciiTheme="minorEastAsia" w:hAnsiTheme="minorEastAsia" w:eastAsiaTheme="minorEastAsia"/>
          <w:highlight w:val="none"/>
        </w:rPr>
        <w:t>。</w:t>
      </w:r>
    </w:p>
    <w:p>
      <w:pPr>
        <w:pStyle w:val="490"/>
        <w:snapToGrid w:val="0"/>
        <w:spacing w:before="0"/>
        <w:outlineLvl w:val="0"/>
        <w:rPr>
          <w:rFonts w:cs="黑体" w:asciiTheme="minorEastAsia" w:hAnsiTheme="minorEastAsia" w:eastAsiaTheme="minorEastAsia"/>
          <w:color w:val="auto"/>
          <w:sz w:val="22"/>
          <w:szCs w:val="22"/>
          <w:highlight w:val="none"/>
          <w:lang w:eastAsia="zh-CN"/>
        </w:rPr>
      </w:pPr>
      <w:bookmarkStart w:id="42" w:name="_Toc152045517"/>
      <w:bookmarkStart w:id="43" w:name="_Toc490297605"/>
      <w:bookmarkStart w:id="44" w:name="_Toc144974485"/>
      <w:bookmarkStart w:id="45" w:name="_Toc29811"/>
      <w:bookmarkStart w:id="46" w:name="_Toc152042293"/>
      <w:r>
        <w:rPr>
          <w:rFonts w:hint="eastAsia" w:cs="黑体" w:asciiTheme="minorEastAsia" w:hAnsiTheme="minorEastAsia" w:eastAsiaTheme="minorEastAsia"/>
          <w:color w:val="auto"/>
          <w:sz w:val="22"/>
          <w:szCs w:val="22"/>
          <w:highlight w:val="none"/>
          <w:lang w:val="en-US" w:eastAsia="zh-CN"/>
        </w:rPr>
        <w:t>8</w:t>
      </w:r>
      <w:r>
        <w:rPr>
          <w:rFonts w:hint="eastAsia" w:cs="黑体" w:asciiTheme="minorEastAsia" w:hAnsiTheme="minorEastAsia" w:eastAsiaTheme="minorEastAsia"/>
          <w:color w:val="auto"/>
          <w:sz w:val="22"/>
          <w:szCs w:val="22"/>
          <w:highlight w:val="none"/>
          <w:lang w:eastAsia="zh-CN"/>
        </w:rPr>
        <w:t>. 联系方式</w:t>
      </w:r>
      <w:bookmarkEnd w:id="42"/>
      <w:bookmarkEnd w:id="43"/>
      <w:bookmarkEnd w:id="44"/>
      <w:bookmarkEnd w:id="45"/>
      <w:bookmarkEnd w:id="46"/>
    </w:p>
    <w:p>
      <w:pPr>
        <w:snapToGrid w:val="0"/>
        <w:spacing w:line="400" w:lineRule="exact"/>
        <w:ind w:firstLine="442" w:firstLineChars="200"/>
        <w:rPr>
          <w:rFonts w:asciiTheme="minorEastAsia" w:hAnsiTheme="minorEastAsia" w:eastAsiaTheme="minorEastAsia"/>
          <w:b/>
          <w:highlight w:val="none"/>
          <w:lang w:eastAsia="zh-CN"/>
        </w:rPr>
      </w:pPr>
      <w:r>
        <w:rPr>
          <w:rFonts w:hint="eastAsia" w:asciiTheme="minorEastAsia" w:hAnsiTheme="minorEastAsia" w:eastAsiaTheme="minorEastAsia"/>
          <w:b/>
          <w:highlight w:val="none"/>
          <w:lang w:eastAsia="zh-CN"/>
        </w:rPr>
        <w:t>招   标   人：</w:t>
      </w:r>
      <w:r>
        <w:rPr>
          <w:rFonts w:hint="eastAsia" w:asciiTheme="minorEastAsia" w:hAnsiTheme="minorEastAsia" w:eastAsiaTheme="minorEastAsia"/>
          <w:b/>
          <w:highlight w:val="none"/>
          <w:lang w:val="en-US" w:eastAsia="zh-CN"/>
        </w:rPr>
        <w:t>厦门国际商会</w:t>
      </w:r>
    </w:p>
    <w:p>
      <w:pPr>
        <w:snapToGrid w:val="0"/>
        <w:spacing w:line="400" w:lineRule="exact"/>
        <w:ind w:left="1920" w:hanging="1495"/>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地        址：厦门市思明区白鹭洲路</w:t>
      </w:r>
      <w:r>
        <w:rPr>
          <w:rFonts w:hint="eastAsia" w:asciiTheme="minorEastAsia" w:hAnsiTheme="minorEastAsia" w:eastAsiaTheme="minorEastAsia"/>
          <w:highlight w:val="none"/>
          <w:lang w:val="en-US" w:eastAsia="zh-CN"/>
        </w:rPr>
        <w:t>199</w:t>
      </w:r>
      <w:r>
        <w:rPr>
          <w:rFonts w:hint="eastAsia" w:asciiTheme="minorEastAsia" w:hAnsiTheme="minorEastAsia" w:eastAsiaTheme="minorEastAsia"/>
          <w:highlight w:val="none"/>
          <w:lang w:eastAsia="zh-CN"/>
        </w:rPr>
        <w:t>号普利花园大厦12楼</w:t>
      </w:r>
      <w:r>
        <w:rPr>
          <w:rFonts w:hint="eastAsia" w:asciiTheme="minorEastAsia" w:hAnsiTheme="minorEastAsia" w:eastAsiaTheme="minorEastAsia"/>
          <w:highlight w:val="none"/>
          <w:lang w:val="en-US" w:eastAsia="zh-CN"/>
        </w:rPr>
        <w:t>1204</w:t>
      </w:r>
    </w:p>
    <w:p>
      <w:pPr>
        <w:snapToGrid w:val="0"/>
        <w:spacing w:line="400" w:lineRule="exact"/>
        <w:ind w:left="1920" w:hanging="1495"/>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电        话：</w:t>
      </w:r>
      <w:r>
        <w:rPr>
          <w:rFonts w:hint="eastAsia" w:asciiTheme="minorEastAsia" w:hAnsiTheme="minorEastAsia" w:eastAsiaTheme="minorEastAsia"/>
          <w:highlight w:val="none"/>
          <w:lang w:val="en-US" w:eastAsia="zh-CN"/>
        </w:rPr>
        <w:t>0592-2218830</w:t>
      </w: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spacing w:line="360" w:lineRule="auto"/>
        <w:ind w:firstLine="440" w:firstLineChars="200"/>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47" w:name="_Toc47415923"/>
      <w:bookmarkStart w:id="48" w:name="_Toc465350682"/>
      <w:bookmarkStart w:id="49" w:name="_Toc49019216"/>
      <w:bookmarkStart w:id="50" w:name="_Toc99466900"/>
      <w:bookmarkStart w:id="51" w:name="_Toc236555291"/>
      <w:bookmarkStart w:id="52" w:name="_Toc47416177"/>
      <w:bookmarkStart w:id="53" w:name="_Toc319056973"/>
      <w:bookmarkStart w:id="54" w:name="_Toc411245396"/>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55" w:name="_Toc32085"/>
      <w:r>
        <w:rPr>
          <w:rFonts w:hint="eastAsia" w:ascii="宋体" w:hAnsi="宋体"/>
          <w:b/>
          <w:bCs/>
          <w:kern w:val="44"/>
          <w:sz w:val="44"/>
          <w:szCs w:val="36"/>
          <w:lang w:eastAsia="zh-CN" w:bidi="ar-SA"/>
        </w:rPr>
        <w:t>第二章  投标人须知前附表</w:t>
      </w:r>
      <w:bookmarkEnd w:id="47"/>
      <w:bookmarkEnd w:id="48"/>
      <w:bookmarkEnd w:id="49"/>
      <w:bookmarkEnd w:id="50"/>
      <w:bookmarkEnd w:id="51"/>
      <w:bookmarkEnd w:id="52"/>
      <w:bookmarkEnd w:id="53"/>
      <w:bookmarkEnd w:id="54"/>
      <w:bookmarkEnd w:id="55"/>
    </w:p>
    <w:p>
      <w:pPr>
        <w:rPr>
          <w:rFonts w:asciiTheme="minorEastAsia" w:hAnsiTheme="minorEastAsia" w:eastAsiaTheme="minorEastAsia"/>
          <w:lang w:eastAsia="zh-CN"/>
        </w:rPr>
      </w:pPr>
      <w:r>
        <w:rPr>
          <w:rFonts w:asciiTheme="minorEastAsia" w:hAnsiTheme="minorEastAsia" w:eastAsiaTheme="minorEastAsia"/>
          <w:lang w:eastAsia="zh-CN"/>
        </w:rPr>
        <w:br w:type="page"/>
      </w:r>
    </w:p>
    <w:p>
      <w:pPr>
        <w:spacing w:line="360" w:lineRule="auto"/>
        <w:jc w:val="center"/>
        <w:rPr>
          <w:rFonts w:asciiTheme="minorEastAsia" w:hAnsiTheme="minorEastAsia" w:eastAsiaTheme="minorEastAsia"/>
          <w:w w:val="90"/>
          <w:lang w:eastAsia="zh-CN"/>
        </w:rPr>
      </w:pPr>
      <w:r>
        <w:rPr>
          <w:rFonts w:hint="eastAsia" w:asciiTheme="minorEastAsia" w:hAnsiTheme="minorEastAsia" w:eastAsiaTheme="minorEastAsia"/>
          <w:w w:val="90"/>
          <w:lang w:eastAsia="zh-CN"/>
        </w:rPr>
        <w:t>投标人须知前附表</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本表关于招标服务的具体要求是对投标人须知的具体补充和修改，如有矛盾，应以本表为准。</w:t>
      </w:r>
    </w:p>
    <w:tbl>
      <w:tblPr>
        <w:tblStyle w:val="37"/>
        <w:tblW w:w="8762"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28" w:type="dxa"/>
          <w:bottom w:w="0" w:type="dxa"/>
          <w:right w:w="28" w:type="dxa"/>
        </w:tblCellMar>
      </w:tblPr>
      <w:tblGrid>
        <w:gridCol w:w="1123"/>
        <w:gridCol w:w="39"/>
        <w:gridCol w:w="760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条款号</w:t>
            </w:r>
          </w:p>
        </w:tc>
        <w:tc>
          <w:tcPr>
            <w:tcW w:w="7600" w:type="dxa"/>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内      容</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bCs/>
              </w:rPr>
            </w:pPr>
            <w:r>
              <w:rPr>
                <w:rFonts w:hint="eastAsia" w:asciiTheme="minorEastAsia" w:hAnsiTheme="minorEastAsia" w:eastAsiaTheme="minorEastAsia"/>
                <w:b/>
                <w:bCs/>
              </w:rPr>
              <w:t>说     明</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Theme="minorEastAsia" w:hAnsiTheme="minorEastAsia" w:eastAsiaTheme="minorEastAsia"/>
              </w:rPr>
            </w:pPr>
            <w:r>
              <w:rPr>
                <w:rFonts w:hint="eastAsia" w:asciiTheme="minorEastAsia" w:hAnsiTheme="minorEastAsia" w:eastAsiaTheme="minorEastAsia"/>
              </w:rPr>
              <w:t>1.1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Theme="minorEastAsia" w:hAnsiTheme="minorEastAsia" w:eastAsiaTheme="minorEastAsia"/>
                <w:color w:val="FF0000"/>
                <w:lang w:eastAsia="zh-CN"/>
              </w:rPr>
            </w:pPr>
            <w:r>
              <w:rPr>
                <w:rFonts w:hint="eastAsia" w:asciiTheme="minorEastAsia" w:hAnsiTheme="minorEastAsia" w:eastAsiaTheme="minorEastAsia"/>
                <w:lang w:eastAsia="zh-CN"/>
              </w:rPr>
              <w:t>招标项目：</w:t>
            </w:r>
            <w:r>
              <w:rPr>
                <w:rFonts w:hint="eastAsia" w:asciiTheme="minorEastAsia" w:hAnsiTheme="minorEastAsia" w:eastAsiaTheme="minorEastAsia" w:cstheme="minorEastAsia"/>
                <w:lang w:eastAsia="zh-CN"/>
              </w:rPr>
              <w:t>2023中国（厦门）国际跨境电商展览会</w:t>
            </w:r>
            <w:r>
              <w:rPr>
                <w:rFonts w:hint="eastAsia" w:asciiTheme="minorEastAsia" w:hAnsiTheme="minorEastAsia" w:eastAsiaTheme="minorEastAsia" w:cstheme="minorEastAsia"/>
                <w:lang w:val="en-US" w:eastAsia="zh-CN"/>
              </w:rPr>
              <w:t>综合</w:t>
            </w:r>
            <w:r>
              <w:rPr>
                <w:rFonts w:hint="eastAsia" w:asciiTheme="minorEastAsia" w:hAnsiTheme="minorEastAsia" w:eastAsiaTheme="minorEastAsia" w:cstheme="minorEastAsia"/>
                <w:lang w:eastAsia="zh-CN"/>
              </w:rPr>
              <w:t>运营服务</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753"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2.1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招标人名称：</w:t>
            </w:r>
            <w:r>
              <w:rPr>
                <w:rFonts w:hint="eastAsia" w:asciiTheme="minorEastAsia" w:hAnsiTheme="minorEastAsia" w:eastAsiaTheme="minorEastAsia"/>
                <w:lang w:val="en-US" w:eastAsia="zh-CN"/>
              </w:rPr>
              <w:t>厦门国际商会</w:t>
            </w:r>
          </w:p>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地址：厦门市思明区白鹭洲路</w:t>
            </w:r>
            <w:r>
              <w:rPr>
                <w:rFonts w:hint="eastAsia" w:asciiTheme="minorEastAsia" w:hAnsiTheme="minorEastAsia" w:eastAsiaTheme="minorEastAsia"/>
                <w:lang w:val="en-US" w:eastAsia="zh-CN"/>
              </w:rPr>
              <w:t>199</w:t>
            </w:r>
            <w:r>
              <w:rPr>
                <w:rFonts w:hint="eastAsia" w:asciiTheme="minorEastAsia" w:hAnsiTheme="minorEastAsia" w:eastAsiaTheme="minorEastAsia"/>
                <w:lang w:eastAsia="zh-CN"/>
              </w:rPr>
              <w:t>号普利花园大厦12楼厦门国际商会</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2.</w:t>
            </w:r>
            <w:r>
              <w:rPr>
                <w:rFonts w:hint="eastAsia" w:asciiTheme="minorEastAsia" w:hAnsiTheme="minorEastAsia" w:eastAsiaTheme="minorEastAsia"/>
                <w:lang w:val="en-US" w:eastAsia="zh-CN"/>
              </w:rPr>
              <w:t>2</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合格的投标人：见投标邀请书第4条投标人资格要求</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投  标  报  价  和  货  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42"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3.1</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i/>
                <w:iCs/>
                <w:lang w:eastAsia="zh-CN"/>
              </w:rPr>
            </w:pPr>
            <w:r>
              <w:rPr>
                <w:rFonts w:hint="eastAsia" w:asciiTheme="minorEastAsia" w:hAnsiTheme="minorEastAsia" w:eastAsiaTheme="minorEastAsia"/>
                <w:lang w:eastAsia="zh-CN"/>
              </w:rPr>
              <w:t>投标报价：按</w:t>
            </w:r>
            <w:r>
              <w:rPr>
                <w:rFonts w:hint="eastAsia" w:asciiTheme="minorEastAsia" w:hAnsiTheme="minorEastAsia" w:eastAsiaTheme="minorEastAsia" w:cstheme="minorEastAsia"/>
                <w:lang w:eastAsia="zh-CN"/>
              </w:rPr>
              <w:t>2023中国（厦门）国际跨境电商展览会</w:t>
            </w:r>
            <w:r>
              <w:rPr>
                <w:rFonts w:hint="eastAsia" w:asciiTheme="minorEastAsia" w:hAnsiTheme="minorEastAsia" w:eastAsiaTheme="minorEastAsia" w:cstheme="minorEastAsia"/>
                <w:lang w:val="en-US" w:eastAsia="zh-CN"/>
              </w:rPr>
              <w:t>综合</w:t>
            </w:r>
            <w:r>
              <w:rPr>
                <w:rFonts w:hint="eastAsia" w:asciiTheme="minorEastAsia" w:hAnsiTheme="minorEastAsia" w:eastAsiaTheme="minorEastAsia" w:cstheme="minorEastAsia"/>
                <w:lang w:eastAsia="zh-CN"/>
              </w:rPr>
              <w:t>运营服务</w:t>
            </w:r>
            <w:r>
              <w:rPr>
                <w:rFonts w:hint="eastAsia" w:asciiTheme="minorEastAsia" w:hAnsiTheme="minorEastAsia" w:eastAsiaTheme="minorEastAsia"/>
                <w:lang w:eastAsia="zh-CN"/>
              </w:rPr>
              <w:t>项目技术要求，根据市场行情、企业自身实力及经验自主报价，为</w:t>
            </w:r>
            <w:r>
              <w:rPr>
                <w:rFonts w:hint="eastAsia" w:asciiTheme="minorEastAsia" w:hAnsiTheme="minorEastAsia" w:eastAsiaTheme="minorEastAsia" w:cstheme="minorEastAsia"/>
                <w:lang w:eastAsia="zh-CN"/>
              </w:rPr>
              <w:t>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中国（</w:t>
            </w:r>
            <w:r>
              <w:rPr>
                <w:rFonts w:hint="eastAsia" w:asciiTheme="minorEastAsia" w:hAnsiTheme="minorEastAsia" w:eastAsiaTheme="minorEastAsia" w:cstheme="minorEastAsia"/>
                <w:lang w:val="en-US" w:eastAsia="zh-CN"/>
              </w:rPr>
              <w:t>厦门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国际跨境电商展览会综合</w:t>
            </w:r>
            <w:r>
              <w:rPr>
                <w:rFonts w:hint="eastAsia" w:asciiTheme="minorEastAsia" w:hAnsiTheme="minorEastAsia" w:eastAsiaTheme="minorEastAsia" w:cstheme="minorEastAsia"/>
                <w:lang w:eastAsia="zh-CN"/>
              </w:rPr>
              <w:t>运营服务</w:t>
            </w:r>
            <w:r>
              <w:rPr>
                <w:rFonts w:hint="eastAsia" w:asciiTheme="minorEastAsia" w:hAnsiTheme="minorEastAsia" w:eastAsiaTheme="minorEastAsia"/>
                <w:lang w:eastAsia="zh-CN"/>
              </w:rPr>
              <w:t>项目技术要求的全部费用。</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3.2</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投标货币：人民币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2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3.3</w:t>
            </w:r>
          </w:p>
        </w:tc>
        <w:tc>
          <w:tcPr>
            <w:tcW w:w="763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hint="default" w:asciiTheme="minorEastAsia" w:hAnsiTheme="minorEastAsia" w:eastAsiaTheme="minorEastAsia"/>
                <w:lang w:val="en-US" w:eastAsia="zh-CN"/>
              </w:rPr>
            </w:pPr>
            <w:r>
              <w:rPr>
                <w:rFonts w:hint="eastAsia" w:asciiTheme="minorEastAsia" w:hAnsiTheme="minorEastAsia" w:eastAsiaTheme="minorEastAsia"/>
                <w:lang w:eastAsia="zh-CN"/>
              </w:rPr>
              <w:t>拦标价：</w:t>
            </w:r>
            <w:r>
              <w:rPr>
                <w:rFonts w:hint="eastAsia" w:asciiTheme="minorEastAsia" w:hAnsiTheme="minorEastAsia" w:eastAsiaTheme="minorEastAsia"/>
                <w:lang w:val="en-US" w:eastAsia="zh-CN"/>
              </w:rPr>
              <w:t>108.3</w:t>
            </w:r>
            <w:r>
              <w:rPr>
                <w:rFonts w:hint="eastAsia" w:asciiTheme="minorEastAsia" w:hAnsiTheme="minorEastAsia" w:eastAsiaTheme="minorEastAsia"/>
                <w:highlight w:val="none"/>
                <w:lang w:val="en-US" w:eastAsia="zh-CN"/>
              </w:rPr>
              <w:t>万元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9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投 标 书 的 编 制 和 递 交</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56"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4.1</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投标人应按要求制作投标文件。</w:t>
            </w:r>
            <w:r>
              <w:rPr>
                <w:rFonts w:hint="eastAsia" w:cs="宋体" w:asciiTheme="minorEastAsia" w:hAnsiTheme="minorEastAsia" w:eastAsiaTheme="minorEastAsia"/>
                <w:lang w:eastAsia="zh-CN"/>
              </w:rPr>
              <w:t>投标文件采用胶印、标明页码。</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4.2</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投标保证金：</w:t>
            </w:r>
            <w:r>
              <w:rPr>
                <w:rFonts w:hint="eastAsia" w:asciiTheme="minorEastAsia" w:hAnsiTheme="minorEastAsia" w:eastAsiaTheme="minorEastAsia"/>
                <w:lang w:val="en-US" w:eastAsia="zh-CN"/>
              </w:rPr>
              <w:t>无</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3</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投标有效期：90天</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4</w:t>
            </w:r>
          </w:p>
        </w:tc>
        <w:tc>
          <w:tcPr>
            <w:tcW w:w="7600"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投标文件份数：正本</w:t>
            </w:r>
            <w:r>
              <w:rPr>
                <w:rFonts w:hint="eastAsia" w:asciiTheme="minorEastAsia" w:hAnsiTheme="minorEastAsia" w:eastAsiaTheme="minorEastAsia"/>
                <w:lang w:val="en-US" w:eastAsia="zh-CN"/>
              </w:rPr>
              <w:t>壹</w:t>
            </w:r>
            <w:r>
              <w:rPr>
                <w:rFonts w:hint="eastAsia" w:asciiTheme="minorEastAsia" w:hAnsiTheme="minorEastAsia" w:eastAsiaTheme="minorEastAsia"/>
                <w:lang w:eastAsia="zh-CN"/>
              </w:rPr>
              <w:t>份，副本</w:t>
            </w:r>
            <w:r>
              <w:rPr>
                <w:rFonts w:hint="eastAsia" w:asciiTheme="minorEastAsia" w:hAnsiTheme="minorEastAsia" w:eastAsiaTheme="minorEastAsia"/>
                <w:lang w:val="en-US" w:eastAsia="zh-CN"/>
              </w:rPr>
              <w:t>贰</w:t>
            </w:r>
            <w:r>
              <w:rPr>
                <w:rFonts w:hint="eastAsia" w:asciiTheme="minorEastAsia" w:hAnsiTheme="minorEastAsia" w:eastAsiaTheme="minorEastAsia"/>
                <w:lang w:eastAsia="zh-CN"/>
              </w:rPr>
              <w:t>份；电子文件：</w:t>
            </w:r>
            <w:r>
              <w:rPr>
                <w:rFonts w:hint="eastAsia" w:asciiTheme="minorEastAsia" w:hAnsiTheme="minorEastAsia" w:eastAsiaTheme="minorEastAsia"/>
                <w:lang w:val="en-US" w:eastAsia="zh-CN"/>
              </w:rPr>
              <w:t>壹</w:t>
            </w:r>
            <w:r>
              <w:rPr>
                <w:rFonts w:hint="eastAsia" w:asciiTheme="minorEastAsia" w:hAnsiTheme="minorEastAsia" w:eastAsiaTheme="minorEastAsia"/>
                <w:lang w:eastAsia="zh-CN"/>
              </w:rPr>
              <w:t>份（U盘）。中标人在中标后再根据招标人需要提供投标文件副本按招标人的要求另行提供。</w:t>
            </w:r>
          </w:p>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b/>
                <w:bCs/>
                <w:lang w:val="en-US" w:eastAsia="zh-CN"/>
              </w:rPr>
              <w:t>投</w:t>
            </w:r>
            <w:r>
              <w:rPr>
                <w:rFonts w:hint="eastAsia" w:asciiTheme="minorEastAsia" w:hAnsiTheme="minorEastAsia" w:eastAsiaTheme="minorEastAsia"/>
                <w:b/>
                <w:bCs/>
                <w:lang w:eastAsia="zh-CN"/>
              </w:rPr>
              <w:t>标一览表、投标函及投标单位基本信息表单独盖章封装在信封中作为投标函</w:t>
            </w:r>
            <w:r>
              <w:rPr>
                <w:rFonts w:hint="eastAsia" w:asciiTheme="minorEastAsia" w:hAnsiTheme="minorEastAsia" w:eastAsiaTheme="minorEastAsia"/>
                <w:lang w:eastAsia="zh-CN"/>
              </w:rPr>
              <w:t>，</w:t>
            </w:r>
            <w:r>
              <w:rPr>
                <w:rFonts w:hint="eastAsia" w:cs="宋体" w:asciiTheme="minorEastAsia" w:hAnsiTheme="minorEastAsia" w:eastAsiaTheme="minorEastAsia"/>
                <w:lang w:eastAsia="zh-CN"/>
              </w:rPr>
              <w:t>投标文件采用胶印、标明页码，要求密封的外包装封口应加盖骑缝章</w:t>
            </w:r>
            <w:r>
              <w:rPr>
                <w:rFonts w:hint="eastAsia" w:asciiTheme="minorEastAsia" w:hAnsiTheme="minorEastAsia" w:eastAsiaTheme="minorEastAsia"/>
                <w:lang w:eastAsia="zh-CN"/>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5</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投标截止时间：见投标邀请书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24"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6</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开标时间、开标地点：见投标邀请书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72"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rPr>
              <w:t>4.</w:t>
            </w:r>
            <w:r>
              <w:rPr>
                <w:rFonts w:hint="eastAsia" w:asciiTheme="minorEastAsia" w:hAnsiTheme="minorEastAsia" w:eastAsiaTheme="minorEastAsia"/>
                <w:lang w:val="en-US" w:eastAsia="zh-CN"/>
              </w:rPr>
              <w:t>7</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Theme="minorEastAsia" w:hAnsiTheme="minorEastAsia" w:eastAsiaTheme="minorEastAsia"/>
                <w:lang w:eastAsia="zh-CN"/>
              </w:rPr>
            </w:pPr>
            <w:r>
              <w:rPr>
                <w:rFonts w:hint="eastAsia" w:asciiTheme="minorEastAsia" w:hAnsiTheme="minorEastAsia" w:eastAsiaTheme="minorEastAsia"/>
                <w:lang w:eastAsia="zh-CN"/>
              </w:rPr>
              <w:t>投标文件递交地点：见投标邀请书</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3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bCs/>
              </w:rPr>
              <w:t>评   标</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600"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5.1</w:t>
            </w:r>
          </w:p>
        </w:tc>
        <w:tc>
          <w:tcPr>
            <w:tcW w:w="7600" w:type="dxa"/>
            <w:tcBorders>
              <w:top w:val="single" w:color="auto" w:sz="2" w:space="0"/>
              <w:left w:val="single" w:color="auto" w:sz="2" w:space="0"/>
              <w:bottom w:val="single" w:color="auto" w:sz="2" w:space="0"/>
              <w:right w:val="single" w:color="auto" w:sz="2" w:space="0"/>
            </w:tcBorders>
            <w:vAlign w:val="center"/>
          </w:tcPr>
          <w:p>
            <w:pPr>
              <w:adjustRightInd w:val="0"/>
              <w:snapToGrid w:val="0"/>
              <w:jc w:val="both"/>
              <w:textAlignment w:val="baseline"/>
              <w:rPr>
                <w:rFonts w:hint="eastAsia" w:ascii="宋体" w:hAnsi="宋体" w:cs="宋体"/>
                <w:szCs w:val="21"/>
                <w:lang w:val="en-US" w:eastAsia="zh-CN"/>
              </w:rPr>
            </w:pPr>
            <w:r>
              <w:rPr>
                <w:rFonts w:hint="eastAsia" w:asciiTheme="minorEastAsia" w:hAnsiTheme="minorEastAsia" w:eastAsiaTheme="minorEastAsia"/>
                <w:lang w:eastAsia="zh-CN"/>
              </w:rPr>
              <w:t>总分100分，其中报价1</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分；</w:t>
            </w:r>
            <w:r>
              <w:rPr>
                <w:rFonts w:hint="eastAsia" w:ascii="宋体" w:hAnsi="宋体" w:cs="宋体"/>
                <w:szCs w:val="21"/>
              </w:rPr>
              <w:t>技术部分</w:t>
            </w:r>
            <w:r>
              <w:rPr>
                <w:rFonts w:ascii="宋体" w:hAnsi="宋体" w:cs="宋体"/>
                <w:szCs w:val="21"/>
              </w:rPr>
              <w:t>5</w:t>
            </w:r>
            <w:r>
              <w:rPr>
                <w:rFonts w:hint="eastAsia" w:ascii="宋体" w:hAnsi="宋体" w:cs="宋体"/>
                <w:szCs w:val="21"/>
              </w:rPr>
              <w:t>5分</w:t>
            </w:r>
            <w:r>
              <w:rPr>
                <w:rFonts w:hint="eastAsia" w:ascii="宋体" w:hAnsi="宋体" w:cs="宋体"/>
                <w:szCs w:val="21"/>
                <w:lang w:eastAsia="zh-CN"/>
              </w:rPr>
              <w:t>；</w:t>
            </w:r>
            <w:r>
              <w:rPr>
                <w:rFonts w:hint="eastAsia" w:ascii="宋体" w:hAnsi="宋体" w:cs="宋体"/>
                <w:szCs w:val="21"/>
                <w:lang w:val="en-US" w:eastAsia="zh-CN"/>
              </w:rPr>
              <w:t>商务部分35分</w:t>
            </w:r>
          </w:p>
          <w:p>
            <w:pPr>
              <w:adjustRightInd w:val="0"/>
              <w:snapToGrid w:val="0"/>
              <w:jc w:val="both"/>
              <w:textAlignment w:val="baseline"/>
              <w:rPr>
                <w:rFonts w:asciiTheme="minorEastAsia" w:hAnsiTheme="minorEastAsia" w:eastAsiaTheme="minorEastAsia"/>
                <w:lang w:eastAsia="zh-CN"/>
              </w:rPr>
            </w:pPr>
            <w:r>
              <w:rPr>
                <w:rFonts w:hint="eastAsia" w:asciiTheme="minorEastAsia" w:hAnsiTheme="minorEastAsia" w:eastAsiaTheme="minorEastAsia"/>
                <w:color w:val="auto"/>
                <w:lang w:eastAsia="zh-CN"/>
              </w:rPr>
              <w:t>（具体见第八章 评标标准与方法）</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876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授  予  合   同</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63"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color w:val="auto"/>
              </w:rPr>
            </w:pPr>
            <w:r>
              <w:rPr>
                <w:rFonts w:hint="eastAsia" w:asciiTheme="minorEastAsia" w:hAnsiTheme="minorEastAsia" w:eastAsiaTheme="minorEastAsia"/>
                <w:color w:val="auto"/>
              </w:rPr>
              <w:t>6.1</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60" w:lineRule="auto"/>
              <w:jc w:val="both"/>
              <w:rPr>
                <w:rFonts w:asciiTheme="minorEastAsia" w:hAnsiTheme="minorEastAsia" w:eastAsiaTheme="minorEastAsia"/>
                <w:i/>
                <w:iCs/>
                <w:color w:val="auto"/>
                <w:lang w:eastAsia="zh-CN"/>
              </w:rPr>
            </w:pPr>
            <w:r>
              <w:rPr>
                <w:rFonts w:hint="eastAsia" w:asciiTheme="minorEastAsia" w:hAnsiTheme="minorEastAsia" w:eastAsiaTheme="minorEastAsia"/>
                <w:color w:val="auto"/>
                <w:lang w:eastAsia="zh-CN"/>
              </w:rPr>
              <w:t>按照方案授标。若执行期间方案发生变化,在授标方案中的材质单价的基础上双方进行协商。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28" w:type="dxa"/>
            <w:bottom w:w="0" w:type="dxa"/>
            <w:right w:w="28" w:type="dxa"/>
          </w:tblCellMar>
        </w:tblPrEx>
        <w:trPr>
          <w:trHeight w:val="413" w:hRule="atLeast"/>
          <w:jc w:val="center"/>
        </w:trPr>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eastAsia="zh-CN"/>
              </w:rPr>
              <w:t>6.</w:t>
            </w:r>
            <w:r>
              <w:rPr>
                <w:rFonts w:hint="eastAsia" w:asciiTheme="minorEastAsia" w:hAnsiTheme="minorEastAsia" w:eastAsiaTheme="minorEastAsia"/>
                <w:lang w:val="en-US" w:eastAsia="zh-CN"/>
              </w:rPr>
              <w:t>2</w:t>
            </w:r>
          </w:p>
        </w:tc>
        <w:tc>
          <w:tcPr>
            <w:tcW w:w="7600" w:type="dxa"/>
            <w:tcBorders>
              <w:top w:val="single" w:color="auto" w:sz="2" w:space="0"/>
              <w:left w:val="single" w:color="auto" w:sz="2" w:space="0"/>
              <w:bottom w:val="single" w:color="auto" w:sz="2" w:space="0"/>
              <w:right w:val="single" w:color="auto" w:sz="2" w:space="0"/>
            </w:tcBorders>
            <w:vAlign w:val="center"/>
          </w:tcPr>
          <w:p>
            <w:pPr>
              <w:spacing w:line="336" w:lineRule="auto"/>
              <w:jc w:val="both"/>
              <w:rPr>
                <w:rFonts w:asciiTheme="minorEastAsia" w:hAnsiTheme="minorEastAsia" w:eastAsiaTheme="minorEastAsia"/>
                <w:lang w:eastAsia="zh-CN"/>
              </w:rPr>
            </w:pPr>
            <w:r>
              <w:rPr>
                <w:rFonts w:hint="eastAsia" w:cs="宋体" w:asciiTheme="minorEastAsia" w:hAnsiTheme="minorEastAsia" w:eastAsiaTheme="minorEastAsia"/>
                <w:color w:val="000000"/>
                <w:lang w:eastAsia="zh-CN"/>
              </w:rPr>
              <w:t>中标单位因其自身原因未能有效履行合同相关义务，或出现消极工作、违规违纪、发生安全事故等行为，给招标方造成损失或不利影响的，招标人有权根据自身评估结果终止合同、并要求赔偿。</w:t>
            </w:r>
          </w:p>
        </w:tc>
      </w:tr>
    </w:tbl>
    <w:p>
      <w:pPr>
        <w:rPr>
          <w:rFonts w:asciiTheme="minorEastAsia" w:hAnsiTheme="minorEastAsia" w:eastAsiaTheme="minorEastAsia"/>
          <w:lang w:eastAsia="zh-CN"/>
        </w:rPr>
        <w:sectPr>
          <w:headerReference r:id="rId10" w:type="default"/>
          <w:pgSz w:w="11906" w:h="16838"/>
          <w:pgMar w:top="1089" w:right="1599" w:bottom="1089" w:left="1599" w:header="851" w:footer="850" w:gutter="0"/>
          <w:pgNumType w:fmt="decimal"/>
          <w:cols w:space="0" w:num="1"/>
          <w:docGrid w:linePitch="312" w:charSpace="0"/>
        </w:sect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56" w:name="_Toc411245397"/>
      <w:bookmarkStart w:id="57" w:name="_Toc2064"/>
      <w:bookmarkStart w:id="58" w:name="_Toc465350683"/>
      <w:r>
        <w:rPr>
          <w:rFonts w:hint="eastAsia" w:asciiTheme="minorEastAsia" w:hAnsiTheme="minorEastAsia" w:eastAsiaTheme="minorEastAsia"/>
          <w:b/>
          <w:bCs/>
          <w:kern w:val="44"/>
          <w:lang w:eastAsia="zh-CN"/>
        </w:rPr>
        <w:t>第三章  投标人须知</w:t>
      </w:r>
      <w:bookmarkEnd w:id="56"/>
      <w:bookmarkEnd w:id="57"/>
      <w:bookmarkEnd w:id="58"/>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59" w:name="_Toc411245398"/>
      <w:bookmarkStart w:id="60" w:name="_Toc23981"/>
      <w:bookmarkStart w:id="61" w:name="_Toc47262051"/>
      <w:bookmarkStart w:id="62" w:name="_Toc99466902"/>
      <w:bookmarkStart w:id="63" w:name="_Toc47418237"/>
      <w:bookmarkStart w:id="64" w:name="_Toc319056975"/>
      <w:bookmarkStart w:id="65" w:name="_Toc47261672"/>
      <w:bookmarkStart w:id="66" w:name="_Toc47261052"/>
      <w:bookmarkStart w:id="67" w:name="_Toc47418920"/>
      <w:bookmarkStart w:id="68" w:name="_Toc49019218"/>
      <w:bookmarkStart w:id="69" w:name="_Toc47261867"/>
      <w:bookmarkStart w:id="70" w:name="_Toc236555293"/>
      <w:bookmarkStart w:id="71" w:name="_Toc48791217"/>
      <w:bookmarkStart w:id="72" w:name="_Toc47418713"/>
      <w:bookmarkStart w:id="73" w:name="_Toc48995833"/>
      <w:bookmarkStart w:id="74" w:name="_Toc465350684"/>
      <w:r>
        <w:rPr>
          <w:rFonts w:hint="eastAsia" w:cs="Arial" w:asciiTheme="minorEastAsia" w:hAnsiTheme="minorEastAsia" w:eastAsiaTheme="minorEastAsia"/>
          <w:b/>
          <w:bCs/>
          <w:w w:val="90"/>
          <w:lang w:eastAsia="zh-CN"/>
        </w:rPr>
        <w:t>一、说  明</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 项目情况</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1.1招标内容</w:t>
      </w:r>
    </w:p>
    <w:p>
      <w:pPr>
        <w:spacing w:line="360" w:lineRule="auto"/>
        <w:ind w:left="424" w:hanging="424" w:hangingChars="192"/>
        <w:rPr>
          <w:rFonts w:asciiTheme="minorEastAsia" w:hAnsiTheme="minorEastAsia" w:eastAsiaTheme="minorEastAsia"/>
          <w:lang w:eastAsia="zh-CN"/>
        </w:rPr>
      </w:pPr>
      <w:r>
        <w:rPr>
          <w:rFonts w:hint="eastAsia" w:asciiTheme="minorEastAsia" w:hAnsiTheme="minorEastAsia" w:eastAsiaTheme="minorEastAsia"/>
          <w:b/>
          <w:bCs/>
          <w:lang w:eastAsia="zh-CN"/>
        </w:rPr>
        <w:t>见第六章</w:t>
      </w:r>
      <w:r>
        <w:rPr>
          <w:rFonts w:hint="eastAsia" w:asciiTheme="minorEastAsia" w:hAnsiTheme="minorEastAsia" w:eastAsiaTheme="minorEastAsia"/>
          <w:b/>
          <w:bCs/>
          <w:lang w:val="en-US" w:eastAsia="zh-CN"/>
        </w:rPr>
        <w:t>项目</w:t>
      </w:r>
      <w:r>
        <w:rPr>
          <w:rFonts w:hint="eastAsia" w:asciiTheme="minorEastAsia" w:hAnsiTheme="minorEastAsia" w:eastAsiaTheme="minorEastAsia"/>
          <w:b/>
          <w:bCs/>
          <w:lang w:eastAsia="zh-CN"/>
        </w:rPr>
        <w:t>清单及技术要求。</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1.2资金来源：自筹。</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 xml:space="preserve"> </w:t>
      </w:r>
      <w:r>
        <w:rPr>
          <w:rFonts w:hint="eastAsia" w:asciiTheme="minorEastAsia" w:hAnsiTheme="minorEastAsia" w:eastAsiaTheme="minorEastAsia"/>
          <w:b/>
          <w:bCs/>
          <w:lang w:eastAsia="zh-CN"/>
        </w:rPr>
        <w:t>招标人及合格的投标人</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2.1 招标人：</w:t>
      </w:r>
      <w:r>
        <w:rPr>
          <w:rFonts w:hint="eastAsia" w:asciiTheme="minorEastAsia" w:hAnsiTheme="minorEastAsia" w:eastAsiaTheme="minorEastAsia"/>
          <w:lang w:val="en-US" w:eastAsia="zh-CN"/>
        </w:rPr>
        <w:t>厦门国际商会</w:t>
      </w:r>
      <w:r>
        <w:rPr>
          <w:rFonts w:hint="eastAsia" w:asciiTheme="minorEastAsia" w:hAnsiTheme="minorEastAsia" w:eastAsiaTheme="minorEastAsia"/>
          <w:lang w:eastAsia="zh-CN"/>
        </w:rPr>
        <w:t>。</w:t>
      </w:r>
    </w:p>
    <w:p>
      <w:pPr>
        <w:spacing w:line="360" w:lineRule="auto"/>
        <w:ind w:left="422" w:hanging="422" w:hangingChars="19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合格的投标人</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凡具备《中华人民共和国政府采购法》第二十二条第一款的条件、有能力提供本投标文件所述货物及服务的境内供货商或制造商均可能成为合格的供应商。供应商须提交以下有效证明文件：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（1）投标函。</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（2）单位负责人授权书（法定代表人和投标代表人身份证复印件）。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（3）法人或者其他组织的营业执照等证明文件。</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（5）提供投标截止时间前六个月任一个月的依法缴纳税收的凭据；或者提供依法免税的相应证明文件。</w:t>
      </w:r>
    </w:p>
    <w:p>
      <w:pPr>
        <w:tabs>
          <w:tab w:val="left" w:pos="1890"/>
        </w:tabs>
        <w:spacing w:line="360" w:lineRule="auto"/>
        <w:rPr>
          <w:rFonts w:hint="default" w:asciiTheme="minorEastAsia" w:hAnsiTheme="minorEastAsia" w:eastAsiaTheme="minorEastAsia"/>
          <w:kern w:val="24"/>
          <w:lang w:val="en-US" w:eastAsia="zh-CN"/>
        </w:rPr>
      </w:pPr>
      <w:r>
        <w:rPr>
          <w:rFonts w:hint="eastAsia" w:asciiTheme="minorEastAsia" w:hAnsiTheme="minorEastAsia" w:eastAsiaTheme="minorEastAsia"/>
          <w:kern w:val="24"/>
          <w:lang w:eastAsia="zh-CN"/>
        </w:rPr>
        <w:t>（6）提供投标截止时间前六个月任一个月的依法缴纳社会保障资金的凭据；或者提供依法不需要缴纳社会保障资金的相应证明文件。</w:t>
      </w:r>
    </w:p>
    <w:p>
      <w:pPr>
        <w:pStyle w:val="491"/>
        <w:spacing w:line="360" w:lineRule="auto"/>
        <w:ind w:firstLine="0" w:firstLineChars="0"/>
        <w:rPr>
          <w:rFonts w:hint="eastAsia" w:asciiTheme="minorEastAsia" w:hAnsiTheme="minorEastAsia" w:eastAsiaTheme="minorEastAsia"/>
          <w:highlight w:val="none"/>
          <w:lang w:val="en-US" w:eastAsia="zh-CN"/>
        </w:rPr>
      </w:pPr>
      <w:r>
        <w:rPr>
          <w:rFonts w:hint="eastAsia" w:asciiTheme="minorEastAsia" w:hAnsiTheme="minorEastAsia" w:eastAsiaTheme="minorEastAsia"/>
          <w:kern w:val="24"/>
          <w:lang w:eastAsia="zh-CN"/>
        </w:rPr>
        <w:t>（</w:t>
      </w:r>
      <w:r>
        <w:rPr>
          <w:rFonts w:hint="eastAsia" w:asciiTheme="minorEastAsia" w:hAnsiTheme="minorEastAsia" w:eastAsiaTheme="minorEastAsia"/>
          <w:kern w:val="24"/>
          <w:lang w:val="en-US" w:eastAsia="zh-CN"/>
        </w:rPr>
        <w:t>7</w:t>
      </w:r>
      <w:r>
        <w:rPr>
          <w:rFonts w:hint="eastAsia" w:asciiTheme="minorEastAsia" w:hAnsiTheme="minorEastAsia" w:eastAsiaTheme="minorEastAsia"/>
          <w:kern w:val="24"/>
          <w:lang w:eastAsia="zh-CN"/>
        </w:rPr>
        <w:t>）</w:t>
      </w:r>
      <w:r>
        <w:rPr>
          <w:rFonts w:hint="eastAsia" w:asciiTheme="minorEastAsia" w:hAnsiTheme="minorEastAsia" w:eastAsiaTheme="minorEastAsia"/>
          <w:lang w:eastAsia="zh-CN"/>
        </w:rPr>
        <w:t>具有履行合同所必需的</w:t>
      </w:r>
      <w:r>
        <w:rPr>
          <w:rFonts w:hint="eastAsia" w:asciiTheme="minorEastAsia" w:hAnsiTheme="minorEastAsia" w:eastAsiaTheme="minorEastAsia"/>
          <w:lang w:val="en-US" w:eastAsia="zh-CN"/>
        </w:rPr>
        <w:t>行业经验及资金实力</w:t>
      </w:r>
      <w:r>
        <w:rPr>
          <w:rFonts w:hint="eastAsia" w:asciiTheme="minorEastAsia" w:hAnsiTheme="minorEastAsia" w:eastAsiaTheme="minorEastAsia"/>
          <w:lang w:eastAsia="zh-CN"/>
        </w:rPr>
        <w:t>，</w:t>
      </w:r>
      <w:r>
        <w:rPr>
          <w:rFonts w:hint="eastAsia" w:asciiTheme="minorEastAsia" w:hAnsiTheme="minorEastAsia" w:eastAsiaTheme="minorEastAsia"/>
          <w:highlight w:val="none"/>
          <w:lang w:eastAsia="zh-CN"/>
        </w:rPr>
        <w:t>投标公司必须</w:t>
      </w:r>
      <w:r>
        <w:rPr>
          <w:rFonts w:hint="eastAsia" w:asciiTheme="minorEastAsia" w:hAnsiTheme="minorEastAsia" w:eastAsiaTheme="minorEastAsia"/>
          <w:highlight w:val="none"/>
          <w:lang w:val="en-US" w:eastAsia="zh-CN"/>
        </w:rPr>
        <w:t>注册满5年，注册资本需不低于500万元人民币。</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w:t>
      </w:r>
      <w:r>
        <w:rPr>
          <w:rFonts w:hint="eastAsia" w:asciiTheme="minorEastAsia" w:hAnsiTheme="minorEastAsia" w:eastAsiaTheme="minorEastAsia"/>
          <w:kern w:val="24"/>
          <w:lang w:val="en-US" w:eastAsia="zh-CN"/>
        </w:rPr>
        <w:t>8</w:t>
      </w:r>
      <w:r>
        <w:rPr>
          <w:rFonts w:hint="eastAsia" w:asciiTheme="minorEastAsia" w:hAnsiTheme="minorEastAsia" w:eastAsiaTheme="minorEastAsia"/>
          <w:kern w:val="24"/>
          <w:lang w:eastAsia="zh-CN"/>
        </w:rPr>
        <w:t>）单位负责人为同一人或者存在控股、管理关系的不同单位，不得参加同一标段或者未划分标段的同一招标项目投标</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w:t>
      </w:r>
      <w:r>
        <w:rPr>
          <w:rFonts w:hint="eastAsia" w:asciiTheme="minorEastAsia" w:hAnsiTheme="minorEastAsia" w:eastAsiaTheme="minorEastAsia"/>
          <w:kern w:val="24"/>
          <w:lang w:val="en-US" w:eastAsia="zh-CN"/>
        </w:rPr>
        <w:t>9</w:t>
      </w:r>
      <w:r>
        <w:rPr>
          <w:rFonts w:hint="eastAsia" w:asciiTheme="minorEastAsia" w:hAnsiTheme="minorEastAsia" w:eastAsiaTheme="minorEastAsia"/>
          <w:kern w:val="24"/>
          <w:lang w:eastAsia="zh-CN"/>
        </w:rPr>
        <w:t>）本次招标不接受联合体投标。</w:t>
      </w:r>
    </w:p>
    <w:p>
      <w:pPr>
        <w:tabs>
          <w:tab w:val="left" w:pos="1890"/>
        </w:tabs>
        <w:spacing w:line="360" w:lineRule="auto"/>
        <w:rPr>
          <w:rFonts w:hint="eastAsia" w:asciiTheme="minorEastAsia" w:hAnsiTheme="minorEastAsia" w:eastAsiaTheme="minorEastAsia"/>
          <w:kern w:val="24"/>
          <w:lang w:eastAsia="zh-CN"/>
        </w:rPr>
      </w:pPr>
      <w:r>
        <w:rPr>
          <w:rFonts w:hint="eastAsia" w:asciiTheme="minorEastAsia" w:hAnsiTheme="minorEastAsia" w:eastAsiaTheme="minorEastAsia"/>
          <w:kern w:val="24"/>
          <w:lang w:eastAsia="zh-CN"/>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3.合格的服务</w:t>
      </w:r>
    </w:p>
    <w:p>
      <w:pPr>
        <w:numPr>
          <w:ilvl w:val="2"/>
          <w:numId w:val="3"/>
        </w:num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合同中提供的所有有关服务，均应来自上述2.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条款所规定的合格投标人。</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4.投标费用</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4.1 投标人应承担所有与准备和参加投标有关的费用。不论投标的结果如何，招标方均无义务和责任承担这些费用。</w:t>
      </w:r>
    </w:p>
    <w:p>
      <w:pPr>
        <w:keepNext/>
        <w:keepLines/>
        <w:spacing w:before="260" w:after="260" w:line="360" w:lineRule="auto"/>
        <w:jc w:val="center"/>
        <w:outlineLvl w:val="1"/>
        <w:rPr>
          <w:rFonts w:hint="eastAsia" w:cs="Arial" w:asciiTheme="minorEastAsia" w:hAnsiTheme="minorEastAsia" w:eastAsiaTheme="minorEastAsia"/>
          <w:b/>
          <w:bCs/>
          <w:w w:val="90"/>
          <w:lang w:eastAsia="zh-CN"/>
        </w:rPr>
      </w:pPr>
      <w:bookmarkStart w:id="75" w:name="_Toc47262052"/>
      <w:bookmarkStart w:id="76" w:name="_Toc48995834"/>
      <w:bookmarkStart w:id="77" w:name="_Toc47261673"/>
      <w:bookmarkStart w:id="78" w:name="_Toc47261053"/>
      <w:bookmarkStart w:id="79" w:name="_Toc99466903"/>
      <w:bookmarkStart w:id="80" w:name="_Toc465350685"/>
      <w:bookmarkStart w:id="81" w:name="_Toc411245399"/>
      <w:bookmarkStart w:id="82" w:name="_Toc47418921"/>
      <w:bookmarkStart w:id="83" w:name="_Toc236555294"/>
      <w:bookmarkStart w:id="84" w:name="_Toc48791218"/>
      <w:bookmarkStart w:id="85" w:name="_Toc47418238"/>
      <w:bookmarkStart w:id="86" w:name="_Toc319056976"/>
      <w:bookmarkStart w:id="87" w:name="_Toc47261868"/>
      <w:bookmarkStart w:id="88" w:name="_Toc49019219"/>
      <w:bookmarkStart w:id="89" w:name="_Toc2458"/>
      <w:bookmarkStart w:id="90" w:name="_Toc47418714"/>
      <w:r>
        <w:rPr>
          <w:rFonts w:hint="eastAsia" w:cs="Arial" w:asciiTheme="minorEastAsia" w:hAnsiTheme="minorEastAsia" w:eastAsiaTheme="minorEastAsia"/>
          <w:b/>
          <w:bCs/>
          <w:w w:val="90"/>
          <w:lang w:eastAsia="zh-CN"/>
        </w:rPr>
        <w:t>二、招标文件</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keepNext/>
        <w:keepLines/>
        <w:spacing w:before="260" w:after="260" w:line="360" w:lineRule="auto"/>
        <w:jc w:val="both"/>
        <w:outlineLvl w:val="1"/>
        <w:rPr>
          <w:rFonts w:asciiTheme="minorEastAsia" w:hAnsiTheme="minorEastAsia" w:eastAsiaTheme="minorEastAsia"/>
          <w:b/>
          <w:bCs/>
          <w:lang w:eastAsia="zh-CN"/>
        </w:rPr>
      </w:pPr>
      <w:r>
        <w:rPr>
          <w:rFonts w:hint="eastAsia" w:asciiTheme="minorEastAsia" w:hAnsiTheme="minorEastAsia" w:eastAsiaTheme="minorEastAsia"/>
          <w:b/>
          <w:bCs/>
          <w:lang w:eastAsia="zh-CN"/>
        </w:rPr>
        <w:t>5.招标文件构成</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5.1 招标文件包括下列内容：</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第一章 投标邀请书</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第二章 投标人须知前附表</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第三章 投标人须知</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第四章 合同专用条款</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第五章 合同通用条款</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第六章 技术要求</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第七章 附件（投标文件格式）</w:t>
      </w:r>
    </w:p>
    <w:p>
      <w:pPr>
        <w:spacing w:line="360" w:lineRule="auto"/>
        <w:ind w:left="0" w:leftChars="0"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第八章 评标标准与方法</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6.招标文件的澄清</w:t>
      </w:r>
    </w:p>
    <w:p>
      <w:pPr>
        <w:spacing w:line="360" w:lineRule="auto"/>
        <w:ind w:left="565" w:hanging="565" w:hangingChars="257"/>
        <w:rPr>
          <w:rFonts w:asciiTheme="minorEastAsia" w:hAnsiTheme="minorEastAsia" w:eastAsiaTheme="minorEastAsia"/>
          <w:lang w:eastAsia="zh-CN"/>
        </w:rPr>
      </w:pPr>
      <w:r>
        <w:rPr>
          <w:rFonts w:hint="eastAsia" w:asciiTheme="minorEastAsia" w:hAnsiTheme="minorEastAsia" w:eastAsiaTheme="minorEastAsia"/>
          <w:lang w:eastAsia="zh-CN"/>
        </w:rPr>
        <w:t>6.1  投标人对招标文件如有疑点要求澄清，应在投标截至</w:t>
      </w:r>
      <w:r>
        <w:rPr>
          <w:rFonts w:hint="eastAsia" w:asciiTheme="minorEastAsia" w:hAnsiTheme="minorEastAsia" w:eastAsiaTheme="minorEastAsia"/>
          <w:lang w:val="en-US" w:eastAsia="zh-CN"/>
        </w:rPr>
        <w:t>5个工作</w:t>
      </w:r>
      <w:r>
        <w:rPr>
          <w:rFonts w:hint="eastAsia" w:asciiTheme="minorEastAsia" w:hAnsiTheme="minorEastAsia" w:eastAsiaTheme="minorEastAsia"/>
          <w:lang w:eastAsia="zh-CN"/>
        </w:rPr>
        <w:t>日前以书面形式发送至招标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对投标人的澄清要求均以书面形式投标截至</w:t>
      </w:r>
      <w:r>
        <w:rPr>
          <w:rFonts w:hint="eastAsia" w:asciiTheme="minorEastAsia" w:hAnsiTheme="minorEastAsia" w:eastAsiaTheme="minorEastAsia"/>
          <w:lang w:val="en-US" w:eastAsia="zh-CN"/>
        </w:rPr>
        <w:t>3个工作</w:t>
      </w:r>
      <w:r>
        <w:rPr>
          <w:rFonts w:hint="eastAsia" w:asciiTheme="minorEastAsia" w:hAnsiTheme="minorEastAsia" w:eastAsiaTheme="minorEastAsia"/>
          <w:lang w:eastAsia="zh-CN"/>
        </w:rPr>
        <w:t>日前予以答复，同时将书面答复在投标截至</w:t>
      </w:r>
      <w:r>
        <w:rPr>
          <w:rFonts w:hint="eastAsia" w:asciiTheme="minorEastAsia" w:hAnsiTheme="minorEastAsia" w:eastAsiaTheme="minorEastAsia"/>
          <w:lang w:val="en-US" w:eastAsia="zh-CN"/>
        </w:rPr>
        <w:t>3个工作日</w:t>
      </w:r>
      <w:r>
        <w:rPr>
          <w:rFonts w:hint="eastAsia" w:asciiTheme="minorEastAsia" w:hAnsiTheme="minorEastAsia" w:eastAsiaTheme="minorEastAsia"/>
          <w:lang w:eastAsia="zh-CN"/>
        </w:rPr>
        <w:t>前发给每个</w:t>
      </w:r>
      <w:r>
        <w:rPr>
          <w:rFonts w:hint="eastAsia" w:asciiTheme="minorEastAsia" w:hAnsiTheme="minorEastAsia" w:eastAsiaTheme="minorEastAsia"/>
          <w:lang w:val="en-US" w:eastAsia="zh-CN"/>
        </w:rPr>
        <w:t>报名获取</w:t>
      </w:r>
      <w:r>
        <w:rPr>
          <w:rFonts w:hint="eastAsia" w:asciiTheme="minorEastAsia" w:hAnsiTheme="minorEastAsia" w:eastAsiaTheme="minorEastAsia"/>
          <w:lang w:eastAsia="zh-CN"/>
        </w:rPr>
        <w:t>招标文件的投标人（答复中不包括问题的来源）。</w:t>
      </w:r>
    </w:p>
    <w:p>
      <w:pPr>
        <w:spacing w:line="360" w:lineRule="auto"/>
        <w:ind w:left="565" w:hanging="565" w:hangingChars="257"/>
        <w:rPr>
          <w:rFonts w:asciiTheme="minorEastAsia" w:hAnsiTheme="minorEastAsia" w:eastAsiaTheme="minorEastAsia"/>
          <w:lang w:eastAsia="zh-CN"/>
        </w:rPr>
      </w:pPr>
      <w:r>
        <w:rPr>
          <w:rFonts w:hint="eastAsia" w:asciiTheme="minorEastAsia" w:hAnsiTheme="minorEastAsia" w:eastAsiaTheme="minorEastAsia"/>
          <w:lang w:eastAsia="zh-CN"/>
        </w:rPr>
        <w:t>6.2  投标人或者其他利害关系人认为招标投标活动不符合法律、行政法规规定的，须在投标截止时间</w:t>
      </w:r>
      <w:r>
        <w:rPr>
          <w:rFonts w:hint="eastAsia" w:asciiTheme="minorEastAsia" w:hAnsiTheme="minorEastAsia" w:eastAsiaTheme="minorEastAsia"/>
          <w:lang w:val="en-US" w:eastAsia="zh-CN"/>
        </w:rPr>
        <w:t>5个工作</w:t>
      </w:r>
      <w:r>
        <w:rPr>
          <w:rFonts w:hint="eastAsia" w:asciiTheme="minorEastAsia" w:hAnsiTheme="minorEastAsia" w:eastAsiaTheme="minorEastAsia"/>
          <w:lang w:eastAsia="zh-CN"/>
        </w:rPr>
        <w:t>日前以“异议”的形式提出。</w:t>
      </w:r>
    </w:p>
    <w:p>
      <w:pPr>
        <w:tabs>
          <w:tab w:val="left" w:pos="189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7. 招标文件的修改</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7.1 在投标截止期前的任何时候，无论出于何种原因，招标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可主动地或在解答投标人提出的澄清问题时对招标文件进行修改，修改的内容为招标文件的组成部分，如果与先发的文件有矛盾，以最后所发文件为准。</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7.2 招标文件的修改将以书面形式通知所有</w:t>
      </w:r>
      <w:r>
        <w:rPr>
          <w:rFonts w:hint="eastAsia" w:asciiTheme="minorEastAsia" w:hAnsiTheme="minorEastAsia" w:eastAsiaTheme="minorEastAsia"/>
          <w:lang w:val="en-US" w:eastAsia="zh-CN"/>
        </w:rPr>
        <w:t>报名获取</w:t>
      </w:r>
      <w:r>
        <w:rPr>
          <w:rFonts w:hint="eastAsia" w:asciiTheme="minorEastAsia" w:hAnsiTheme="minorEastAsia" w:eastAsiaTheme="minorEastAsia"/>
          <w:lang w:eastAsia="zh-CN"/>
        </w:rPr>
        <w:t>招标文件的投标人，并对其具有约束力。投标人在收到上述通知后，应立即向招标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回函确认。</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7.3 为使投标人准备投标时有充分时间对招标文件的修改部分进行研究，招标机构可适当延长投标截止期。并以书面形式通知所有购买招标文件的投标人。</w:t>
      </w:r>
    </w:p>
    <w:p>
      <w:pPr>
        <w:spacing w:line="360" w:lineRule="auto"/>
        <w:rPr>
          <w:rFonts w:asciiTheme="minorEastAsia" w:hAnsiTheme="minorEastAsia" w:eastAsiaTheme="minorEastAsia"/>
          <w:lang w:eastAsia="zh-CN"/>
        </w:rPr>
      </w:pPr>
    </w:p>
    <w:p>
      <w:pPr>
        <w:keepNext/>
        <w:keepLines/>
        <w:tabs>
          <w:tab w:val="left" w:pos="1050"/>
        </w:tabs>
        <w:spacing w:before="260" w:after="260" w:line="360" w:lineRule="auto"/>
        <w:jc w:val="center"/>
        <w:outlineLvl w:val="1"/>
        <w:rPr>
          <w:rFonts w:cs="Arial" w:asciiTheme="minorEastAsia" w:hAnsiTheme="minorEastAsia" w:eastAsiaTheme="minorEastAsia"/>
          <w:b/>
          <w:bCs/>
          <w:w w:val="90"/>
          <w:lang w:eastAsia="zh-CN"/>
        </w:rPr>
      </w:pPr>
      <w:bookmarkStart w:id="91" w:name="_Toc47261674"/>
      <w:bookmarkStart w:id="92" w:name="_Toc319056977"/>
      <w:bookmarkStart w:id="93" w:name="_Toc5360"/>
      <w:bookmarkStart w:id="94" w:name="_Toc236555295"/>
      <w:bookmarkStart w:id="95" w:name="_Toc47418239"/>
      <w:bookmarkStart w:id="96" w:name="_Toc47261869"/>
      <w:bookmarkStart w:id="97" w:name="_Toc465350686"/>
      <w:bookmarkStart w:id="98" w:name="_Toc48995835"/>
      <w:bookmarkStart w:id="99" w:name="_Toc99466904"/>
      <w:bookmarkStart w:id="100" w:name="_Toc411245400"/>
      <w:bookmarkStart w:id="101" w:name="_Toc47261054"/>
      <w:bookmarkStart w:id="102" w:name="_Toc47262053"/>
      <w:bookmarkStart w:id="103" w:name="_Toc49019220"/>
      <w:bookmarkStart w:id="104" w:name="_Toc47418922"/>
      <w:bookmarkStart w:id="105" w:name="_Toc48791219"/>
      <w:bookmarkStart w:id="106" w:name="_Toc47418715"/>
      <w:r>
        <w:rPr>
          <w:rFonts w:hint="eastAsia" w:cs="Arial" w:asciiTheme="minorEastAsia" w:hAnsiTheme="minorEastAsia" w:eastAsiaTheme="minorEastAsia"/>
          <w:b/>
          <w:bCs/>
          <w:w w:val="90"/>
          <w:lang w:eastAsia="zh-CN"/>
        </w:rPr>
        <w:t>三、投标文件的编制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8. 编制要求</w:t>
      </w:r>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8.1投标人应认真阅读招标文件的所有内容，按招标文件的要求提供投标文件，并保证提供的全部资料的真实性，以使其投标对招标文件作出实质性响应，否则，其投标将被拒绝。</w:t>
      </w:r>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8.2投标的语言</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投标人提交的投标文件以及投标人与招标机构就有关投标的所有来往函电均应以中文书写。</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9.投标文件构成</w:t>
      </w:r>
    </w:p>
    <w:p>
      <w:pPr>
        <w:spacing w:line="360" w:lineRule="auto"/>
        <w:ind w:firstLine="220" w:firstLineChars="100"/>
        <w:rPr>
          <w:rFonts w:asciiTheme="minorEastAsia" w:hAnsiTheme="minorEastAsia" w:eastAsiaTheme="minorEastAsia"/>
          <w:lang w:eastAsia="zh-CN"/>
        </w:rPr>
      </w:pPr>
      <w:r>
        <w:rPr>
          <w:rFonts w:hint="eastAsia" w:asciiTheme="minorEastAsia" w:hAnsiTheme="minorEastAsia" w:eastAsiaTheme="minorEastAsia"/>
          <w:lang w:eastAsia="zh-CN"/>
        </w:rPr>
        <w:t>投标人编写的投标文件应包括下列部分：</w:t>
      </w:r>
    </w:p>
    <w:p>
      <w:pPr>
        <w:spacing w:line="360" w:lineRule="auto"/>
        <w:ind w:left="1365"/>
        <w:rPr>
          <w:rFonts w:asciiTheme="minorEastAsia" w:hAnsiTheme="minorEastAsia" w:eastAsiaTheme="minorEastAsia"/>
          <w:lang w:eastAsia="zh-CN"/>
        </w:rPr>
      </w:pPr>
      <w:r>
        <w:rPr>
          <w:rFonts w:asciiTheme="minorEastAsia" w:hAnsiTheme="minorEastAsia" w:eastAsiaTheme="minorEastAsia"/>
          <w:lang w:eastAsia="zh-CN" w:bidi="ar-SA"/>
        </w:rPr>
        <mc:AlternateContent>
          <mc:Choice Requires="wps">
            <w:drawing>
              <wp:anchor distT="0" distB="0" distL="114300" distR="114300" simplePos="0" relativeHeight="251665408" behindDoc="0" locked="0" layoutInCell="0" allowOverlap="1">
                <wp:simplePos x="0" y="0"/>
                <wp:positionH relativeFrom="column">
                  <wp:posOffset>2283460</wp:posOffset>
                </wp:positionH>
                <wp:positionV relativeFrom="line">
                  <wp:posOffset>67310</wp:posOffset>
                </wp:positionV>
                <wp:extent cx="117475" cy="604520"/>
                <wp:effectExtent l="0" t="0" r="0" b="0"/>
                <wp:wrapNone/>
                <wp:docPr id="5" name="AutoShape 5"/>
                <wp:cNvGraphicFramePr/>
                <a:graphic xmlns:a="http://schemas.openxmlformats.org/drawingml/2006/main">
                  <a:graphicData uri="http://schemas.microsoft.com/office/word/2010/wordprocessingShape">
                    <wps:wsp>
                      <wps:cNvSpPr/>
                      <wps:spPr>
                        <a:xfrm>
                          <a:off x="0" y="0"/>
                          <a:ext cx="117475" cy="604520"/>
                        </a:xfrm>
                        <a:prstGeom prst="rightBrace">
                          <a:avLst>
                            <a:gd name="adj1" fmla="val 42882"/>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AutoShape 5" o:spid="_x0000_s1026" o:spt="88" type="#_x0000_t88" style="position:absolute;left:0pt;margin-left:179.8pt;margin-top:5.3pt;height:47.6pt;width:9.25pt;mso-position-vertical-relative:line;z-index:251665408;mso-width-relative:page;mso-height-relative:page;" filled="f" stroked="t" coordsize="21600,21600" o:allowincell="f" o:gfxdata="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vciFNkAAAAKAQAADwAAAAAAAAABACAAAAAi&#10;AAAAZHJzL2Rvd25yZXYueG1sUEsBAhQAFAAAAAgAh07iQHf8BOQJAgAARAQAAA4AAAAAAAAAAQAg&#10;AAAAKAEAAGRycy9lMm9Eb2MueG1sUEsFBgAAAAAGAAYAWQEAAKMFAAAAAA==&#10;" adj="1799,10800">
                <v:fill on="f" focussize="0,0"/>
                <v:stroke color="#000000" joinstyle="round"/>
                <v:imagedata o:title=""/>
                <o:lock v:ext="edit" aspectratio="f"/>
              </v:shape>
            </w:pict>
          </mc:Fallback>
        </mc:AlternateContent>
      </w:r>
      <w:r>
        <w:rPr>
          <w:rFonts w:asciiTheme="minorEastAsia" w:hAnsiTheme="minorEastAsia" w:eastAsiaTheme="minorEastAsia"/>
          <w:lang w:eastAsia="zh-CN" w:bidi="ar-SA"/>
        </w:rPr>
        <mc:AlternateContent>
          <mc:Choice Requires="wps">
            <w:drawing>
              <wp:anchor distT="0" distB="0" distL="114300" distR="114300" simplePos="0" relativeHeight="2516633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AutoShape 6" hidden="1"/>
                <wp:cNvGraphicFramePr/>
                <a:graphic xmlns:a="http://schemas.openxmlformats.org/drawingml/2006/main">
                  <a:graphicData uri="http://schemas.microsoft.com/office/word/2010/wordprocessingShape">
                    <wps:wsp>
                      <wps:cNvSpPr/>
                      <wps:spPr>
                        <a:xfrm>
                          <a:off x="0" y="0"/>
                          <a:ext cx="635000" cy="635000"/>
                        </a:xfrm>
                        <a:prstGeom prst="rightBrace">
                          <a:avLst>
                            <a:gd name="adj1" fmla="val 0"/>
                            <a:gd name="adj2" fmla="val 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AutoShape 6" o:spid="_x0000_s1026" o:spt="88" type="#_x0000_t88" style="position:absolute;left:0pt;margin-left:0pt;margin-top:0pt;height:50pt;width:50pt;visibility:hidden;z-index:251663360;mso-width-relative:page;mso-height-relative:page;" fillcolor="#FFFFFF" filled="t" stroked="t" coordsize="21600,21600" o:gfxdata="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TGWXSAAAABQEAAA8AAAAAAAAAAQAgAAAAIgAAAGRy&#10;cy9kb3ducmV2LnhtbFBLAQIUABQAAAAIAIdO4kCykGvBCwIAAHAEAAAOAAAAAAAAAAEAIAAAACEB&#10;AABkcnMvZTJvRG9jLnhtbFBLBQYAAAAABgAGAFkBAACeBQAAAAA=&#10;" adj="0,0">
                <v:fill on="t" focussize="0,0"/>
                <v:stroke color="#000000" joinstyle="round"/>
                <v:imagedata o:title=""/>
                <o:lock v:ext="edit" aspectratio="f"/>
              </v:shape>
            </w:pict>
          </mc:Fallback>
        </mc:AlternateContent>
      </w:r>
      <w:r>
        <w:rPr>
          <w:rFonts w:hint="eastAsia" w:asciiTheme="minorEastAsia" w:hAnsiTheme="minorEastAsia" w:eastAsiaTheme="minorEastAsia"/>
          <w:lang w:eastAsia="zh-CN"/>
        </w:rPr>
        <w:t xml:space="preserve">1)投标书 </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2)投标一览表           按照本须知第七章提供的格式填写</w:t>
      </w:r>
    </w:p>
    <w:p>
      <w:pPr>
        <w:spacing w:line="360" w:lineRule="auto"/>
        <w:ind w:firstLine="1320" w:firstLineChars="600"/>
        <w:rPr>
          <w:rFonts w:asciiTheme="minorEastAsia" w:hAnsiTheme="minorEastAsia" w:eastAsiaTheme="minorEastAsia"/>
          <w:lang w:eastAsia="zh-CN"/>
        </w:rPr>
      </w:pPr>
      <w:r>
        <w:rPr>
          <w:rFonts w:hint="eastAsia" w:asciiTheme="minorEastAsia" w:hAnsiTheme="minorEastAsia" w:eastAsiaTheme="minorEastAsia"/>
          <w:lang w:eastAsia="zh-CN"/>
        </w:rPr>
        <w:t xml:space="preserve">3)投标分项报价表        </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4)证明投标人是合格的，而且中标后有能力履行合同的资格证明文件。(按照本须知第13条要求和第七章提供的格式出具)</w:t>
      </w:r>
    </w:p>
    <w:p>
      <w:pPr>
        <w:spacing w:line="360" w:lineRule="auto"/>
        <w:ind w:left="1365"/>
        <w:rPr>
          <w:rFonts w:asciiTheme="minorEastAsia" w:hAnsiTheme="minorEastAsia" w:eastAsiaTheme="minorEastAsia"/>
          <w:lang w:eastAsia="zh-CN"/>
        </w:rPr>
      </w:pPr>
      <w:r>
        <w:rPr>
          <w:rFonts w:hint="eastAsia" w:asciiTheme="minorEastAsia" w:hAnsiTheme="minorEastAsia" w:eastAsiaTheme="minorEastAsia"/>
          <w:lang w:eastAsia="zh-CN"/>
        </w:rPr>
        <w:t>5)招标文件中要求的以及投标人认为需要提供的资料</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10.投标文件格式</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10.1</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投标人应按照本招标文件中第9条的内容和第七章投标文件格式的要求制作投标文件。如有漏项或招标方认为其投标文件有明显缺陷的，招标方有权决定其投标是否有效（无效的投标为废标）。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10.2</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投标人应提供的投标文件密封完好（每份投标文件封面，均要注明“正本”或“副本”字样，包装封口处加盖投标人公章），一旦正本和副本内容有差异，以正本为准。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10.3</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所有投标文件必须打印，且装订完好。由于投标文件出现错页，缺页所导致的一切后果由投标人承担及投标须知前附表的其他要求。</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10.4</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文件文字：投标文件均以中文印刷，中文以外的文字应附以中文译文，中外文不符时以中文为准。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投标文件计量单位：除在招标文件的技术规格中有规定的之外，计量单位使用中华人民共和国法定计量单位。</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10.6 满足投标须知前附表的其他要求。</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11.投标报价</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eastAsia="zh-CN"/>
        </w:rPr>
        <w:t>11.1 投标人应在投标分项报价表上标明本合同拟提供</w:t>
      </w:r>
      <w:r>
        <w:rPr>
          <w:rFonts w:hint="eastAsia" w:asciiTheme="minorEastAsia" w:hAnsiTheme="minorEastAsia" w:eastAsiaTheme="minorEastAsia"/>
          <w:lang w:val="en-US" w:eastAsia="zh-CN"/>
        </w:rPr>
        <w:t>物料</w:t>
      </w:r>
      <w:r>
        <w:rPr>
          <w:rFonts w:hint="eastAsia" w:asciiTheme="minorEastAsia" w:hAnsiTheme="minorEastAsia" w:eastAsiaTheme="minorEastAsia"/>
          <w:lang w:eastAsia="zh-CN"/>
        </w:rPr>
        <w:t>及服务的单价和总价。</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11.2 投标分项报价表上的价格应按下列方式分开填写：</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ab/>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投标人须按照服务清单的各分项目和集成服务费等分别报出价格。</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11.3</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本次投标报价只允许有一个报价，任何有选择的报价将不被接受。投标报价应考虑各种风险因素和费用，对投标人没有填入的项目，招标人认为投标人的报价已包括，在实施和结算时招标人不另行支付。</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11.4</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投标人根据本须知第11.2条的规定将投标价分成几部分，只是为了方便招标方对投标文件进行比较，并不限制招标人以上述任何条件订立合同的权力。</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11.5</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投标人所报的投标价在合同执行过程中是固定不变的，不得以任何理由予以变更。任何包含价格调整要求的投标，将被认为是非响应性投标而予以拒绝。</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11.6 投标人不得以低于成本的报价竞标，如认定为恶意报价竞标将予以废标处理（投标人的投标报价低于有效投标人平均价20%或高于有效投标人平均价15%，认定为恶意报价竞标）。</w:t>
      </w:r>
    </w:p>
    <w:p>
      <w:pPr>
        <w:numPr>
          <w:ilvl w:val="0"/>
          <w:numId w:val="30"/>
        </w:numPr>
        <w:tabs>
          <w:tab w:val="left" w:pos="420"/>
        </w:tabs>
        <w:spacing w:line="360" w:lineRule="auto"/>
        <w:rPr>
          <w:rFonts w:asciiTheme="minorEastAsia" w:hAnsiTheme="minorEastAsia" w:eastAsiaTheme="minorEastAsia"/>
          <w:b/>
          <w:bCs/>
        </w:rPr>
      </w:pPr>
      <w:r>
        <w:rPr>
          <w:rFonts w:hint="eastAsia" w:asciiTheme="minorEastAsia" w:hAnsiTheme="minorEastAsia" w:eastAsiaTheme="minorEastAsia"/>
          <w:b/>
          <w:bCs/>
        </w:rPr>
        <w:t>投标货币</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12.1 投标人提供的货物和服务一律用人民币报价。</w:t>
      </w:r>
    </w:p>
    <w:p>
      <w:pPr>
        <w:tabs>
          <w:tab w:val="left" w:pos="315"/>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13．证明投标人合格和资格的文件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13.1 投标人应提交证明其有资格参加投标和中标后有能力履行合同的文件，并作为其投标文件的一部分。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13.2 投标人提交的合格性证明文件应使招标方满意，投标人在投标时应符合本须知第2.3条的规定。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13.3 投标人提交的证明其中标后能履行合同的资格证明文件应使招标方满意，即</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1)投标人已具备履行合同所需的财务、技术和生产能力；</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2)投标人满足“投标人须知前附表”中列出的资格标准；</w:t>
      </w:r>
    </w:p>
    <w:p>
      <w:pPr>
        <w:spacing w:line="360" w:lineRule="auto"/>
        <w:ind w:left="1260"/>
        <w:rPr>
          <w:rFonts w:asciiTheme="minorEastAsia" w:hAnsiTheme="minorEastAsia" w:eastAsiaTheme="minorEastAsia"/>
          <w:lang w:eastAsia="zh-CN"/>
        </w:rPr>
      </w:pPr>
      <w:r>
        <w:rPr>
          <w:rFonts w:hint="eastAsia" w:asciiTheme="minorEastAsia" w:hAnsiTheme="minorEastAsia" w:eastAsiaTheme="minorEastAsia"/>
          <w:lang w:eastAsia="zh-CN"/>
        </w:rPr>
        <w:t>3)投标人应提供其开立基本帐户的银行的资信证明。</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13.4 投标人应提交“第八章 评标标准与方法”中所规定但不限于该规定的企业资格、业绩证明材料，未提供相应资料的将会对评标产生重大影响。</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14.投标保证金</w:t>
      </w:r>
    </w:p>
    <w:p>
      <w:pPr>
        <w:spacing w:line="360" w:lineRule="auto"/>
        <w:ind w:left="550" w:hanging="550" w:hangingChars="25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 xml:space="preserve">14.1 </w:t>
      </w:r>
      <w:r>
        <w:rPr>
          <w:rFonts w:hint="eastAsia" w:asciiTheme="minorEastAsia" w:hAnsiTheme="minorEastAsia" w:eastAsiaTheme="minorEastAsia"/>
          <w:lang w:val="en-US" w:eastAsia="zh-CN"/>
        </w:rPr>
        <w:t>本次投标无需缴纳保证金</w:t>
      </w:r>
    </w:p>
    <w:p>
      <w:pPr>
        <w:tabs>
          <w:tab w:val="left" w:pos="315"/>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5</w:t>
      </w:r>
      <w:r>
        <w:rPr>
          <w:rFonts w:hint="eastAsia" w:asciiTheme="minorEastAsia" w:hAnsiTheme="minorEastAsia" w:eastAsiaTheme="minorEastAsia"/>
          <w:b/>
          <w:bCs/>
          <w:lang w:eastAsia="zh-CN"/>
        </w:rPr>
        <w:t>.投标文件的制作和签署</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.1 投标人应准备一份投标文件正本和“投标人须知前附表”中规定数目的副本，及电子版本，每套投标文件须清楚地标明“正本”“副本”“电子版本”。若正本和副本不符，以正本为准，电子版与纸制文件不符，以纸制文件为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.2 投标文件的正本需打印，并由投标人或经正式授权的代表在投标文件上签字。投标文件的副本可采用正本的复印件。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.3 任何行间插字、涂改或增删，必须由投标文件签字人姓或首字母在旁边签字才有效。</w:t>
      </w:r>
    </w:p>
    <w:p>
      <w:pPr>
        <w:spacing w:line="360" w:lineRule="auto"/>
        <w:rPr>
          <w:rFonts w:asciiTheme="minorEastAsia" w:hAnsiTheme="minorEastAsia" w:eastAsiaTheme="minorEastAsia"/>
          <w:lang w:eastAsia="zh-CN"/>
        </w:rPr>
      </w:pP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07" w:name="_Toc236555296"/>
      <w:bookmarkStart w:id="108" w:name="_Toc99466905"/>
      <w:bookmarkStart w:id="109" w:name="_Toc47418240"/>
      <w:bookmarkStart w:id="110" w:name="_Toc411245401"/>
      <w:bookmarkStart w:id="111" w:name="_Toc49019221"/>
      <w:bookmarkStart w:id="112" w:name="_Toc465350687"/>
      <w:bookmarkStart w:id="113" w:name="_Toc47418923"/>
      <w:bookmarkStart w:id="114" w:name="_Toc48791220"/>
      <w:bookmarkStart w:id="115" w:name="_Toc17739"/>
      <w:bookmarkStart w:id="116" w:name="_Toc47418716"/>
      <w:bookmarkStart w:id="117" w:name="_Toc48995836"/>
      <w:bookmarkStart w:id="118" w:name="_Toc47261055"/>
      <w:bookmarkStart w:id="119" w:name="_Toc47261870"/>
      <w:bookmarkStart w:id="120" w:name="_Toc47262054"/>
      <w:bookmarkStart w:id="121" w:name="_Toc47261675"/>
      <w:bookmarkStart w:id="122" w:name="_Toc319056978"/>
      <w:r>
        <w:rPr>
          <w:rFonts w:hint="eastAsia" w:cs="Arial" w:asciiTheme="minorEastAsia" w:hAnsiTheme="minorEastAsia" w:eastAsiaTheme="minorEastAsia"/>
          <w:b/>
          <w:bCs/>
          <w:w w:val="90"/>
          <w:lang w:eastAsia="zh-CN"/>
        </w:rPr>
        <w:t>四、投标文件的密封和递交</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6</w:t>
      </w:r>
      <w:r>
        <w:rPr>
          <w:rFonts w:hint="eastAsia" w:asciiTheme="minorEastAsia" w:hAnsiTheme="minorEastAsia" w:eastAsiaTheme="minorEastAsia"/>
          <w:b/>
          <w:bCs/>
          <w:lang w:eastAsia="zh-CN"/>
        </w:rPr>
        <w:t>.投标文件的装订、密封和标记</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.1  投标人应将所有投标文件的正本和所有副本密封，密封的正本和所有副本应统一装入一个外层密封袋中，电子文档应封装在开标信封的密封袋中。</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 xml:space="preserve">      投标人应单独制作开标信封以便于唱标，开标信封内装投标函、投标一览表、投标保证金单据复印件、投标人基本情况信息表和电子版等。</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.2  在投标文件密封袋上均应写明招标人名称和地址；</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注明下列识别标志：</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（1） 招标项目编号；</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 招标项目名称；</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（3） 投标人名称；</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（4） 注明“在   年  月  日   时之前不得启封”的字样（前述时间指开标时间）。</w:t>
      </w:r>
    </w:p>
    <w:p>
      <w:pPr>
        <w:spacing w:line="360" w:lineRule="auto"/>
        <w:ind w:left="660" w:hanging="660" w:hangingChars="3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 xml:space="preserve"> 投标文件采用标准A4纸打印，并在左侧采用胶装的形式，加盖投标人单位公章，并由投标人的法定代表人或其授权的代理人签署。</w:t>
      </w:r>
      <w:r>
        <w:rPr>
          <w:rFonts w:hint="eastAsia" w:asciiTheme="minorEastAsia" w:hAnsiTheme="minorEastAsia" w:eastAsiaTheme="minorEastAsia"/>
          <w:b/>
          <w:bCs/>
          <w:lang w:eastAsia="zh-CN"/>
        </w:rPr>
        <w:t>投标文件需编制目录并连续标注页码。</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1</w:t>
      </w:r>
      <w:r>
        <w:rPr>
          <w:rFonts w:hint="eastAsia" w:asciiTheme="minorEastAsia" w:hAnsiTheme="minorEastAsia" w:eastAsiaTheme="minorEastAsia"/>
          <w:b/>
          <w:bCs/>
          <w:lang w:val="en-US" w:eastAsia="zh-CN"/>
        </w:rPr>
        <w:t>7</w:t>
      </w:r>
      <w:r>
        <w:rPr>
          <w:rFonts w:hint="eastAsia" w:asciiTheme="minorEastAsia" w:hAnsiTheme="minorEastAsia" w:eastAsiaTheme="minorEastAsia"/>
          <w:b/>
          <w:bCs/>
          <w:lang w:eastAsia="zh-CN"/>
        </w:rPr>
        <w:t>.投标截止期</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.1 投标人应在不迟于“投标人须知前附表”中规定的截止日期和时间将投标文件递交给招标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，递交地点应是“投标人须知前附表”中指明的地址。</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.2 招标机构可以按本须知第7条规定，通知修改招标文件适当延长投标截止期。在此情况下，招标机构、招标人和投标人受投标截止期制约的所有权利和义务均应延长至新的截止期。</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val="en-US" w:eastAsia="zh-CN"/>
        </w:rPr>
        <w:t>18</w:t>
      </w:r>
      <w:r>
        <w:rPr>
          <w:rFonts w:hint="eastAsia" w:asciiTheme="minorEastAsia" w:hAnsiTheme="minorEastAsia" w:eastAsiaTheme="minorEastAsia"/>
          <w:b/>
          <w:bCs/>
          <w:lang w:eastAsia="zh-CN"/>
        </w:rPr>
        <w:t>.迟交的投标文件</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18</w:t>
      </w:r>
      <w:r>
        <w:rPr>
          <w:rFonts w:hint="eastAsia" w:asciiTheme="minorEastAsia" w:hAnsiTheme="minorEastAsia" w:eastAsiaTheme="minorEastAsia"/>
          <w:lang w:eastAsia="zh-CN"/>
        </w:rPr>
        <w:t>.1 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将拒绝接收</w:t>
      </w:r>
      <w:r>
        <w:rPr>
          <w:rFonts w:hint="eastAsia" w:asciiTheme="minorEastAsia" w:hAnsiTheme="minorEastAsia" w:eastAsiaTheme="minorEastAsia"/>
          <w:lang w:val="en-US" w:eastAsia="zh-CN"/>
        </w:rPr>
        <w:t>在</w:t>
      </w:r>
      <w:r>
        <w:rPr>
          <w:rFonts w:hint="eastAsia" w:asciiTheme="minorEastAsia" w:hAnsiTheme="minorEastAsia" w:eastAsiaTheme="minorEastAsia"/>
          <w:lang w:eastAsia="zh-CN"/>
        </w:rPr>
        <w:t>规定的截止期后送达的任何投标文件， 截止期后收到的邮寄投标文件将原封退回。</w:t>
      </w:r>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val="en-US" w:eastAsia="zh-CN"/>
        </w:rPr>
        <w:t>19</w:t>
      </w:r>
      <w:r>
        <w:rPr>
          <w:rFonts w:hint="eastAsia" w:asciiTheme="minorEastAsia" w:hAnsiTheme="minorEastAsia" w:eastAsiaTheme="minorEastAsia"/>
          <w:b/>
          <w:bCs/>
          <w:lang w:eastAsia="zh-CN"/>
        </w:rPr>
        <w:t>.投标文件的修改与撤回</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.1 投标人在递交投标文件后，可以修改或撤回其投标，但投标人必须在规定的投标截止期之前将修改或撤回的书面通知递交到招标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.2 投标人的修改或撤回通知应按规定编制、密封、标记和递交。</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.3 在投标截止期之后，投标人不得对其投标做任何修改。</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19</w:t>
      </w:r>
      <w:r>
        <w:rPr>
          <w:rFonts w:hint="eastAsia" w:asciiTheme="minorEastAsia" w:hAnsiTheme="minorEastAsia" w:eastAsiaTheme="minorEastAsia"/>
          <w:lang w:eastAsia="zh-CN"/>
        </w:rPr>
        <w:t>.4 从投标截止期至投标人在投标书格式中确定的投标有效期期满这段时间内，投标人不得撤回其投标。</w:t>
      </w: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23" w:name="_Toc49019222"/>
      <w:bookmarkStart w:id="124" w:name="_Toc47261676"/>
      <w:bookmarkStart w:id="125" w:name="_Toc47418717"/>
      <w:bookmarkStart w:id="126" w:name="_Toc47418924"/>
      <w:bookmarkStart w:id="127" w:name="_Toc47261056"/>
      <w:bookmarkStart w:id="128" w:name="_Toc236555297"/>
      <w:bookmarkStart w:id="129" w:name="_Toc47262055"/>
      <w:bookmarkStart w:id="130" w:name="_Toc47261871"/>
      <w:bookmarkStart w:id="131" w:name="_Toc48791221"/>
      <w:bookmarkStart w:id="132" w:name="_Toc411245402"/>
      <w:bookmarkStart w:id="133" w:name="_Toc99466906"/>
      <w:bookmarkStart w:id="134" w:name="_Toc32280"/>
      <w:bookmarkStart w:id="135" w:name="_Toc319056979"/>
      <w:bookmarkStart w:id="136" w:name="_Toc47418241"/>
      <w:bookmarkStart w:id="137" w:name="_Toc48995837"/>
      <w:bookmarkStart w:id="138" w:name="_Toc465350688"/>
      <w:r>
        <w:rPr>
          <w:rFonts w:hint="eastAsia" w:cs="Arial" w:asciiTheme="minorEastAsia" w:hAnsiTheme="minorEastAsia" w:eastAsiaTheme="minorEastAsia"/>
          <w:b/>
          <w:bCs/>
          <w:w w:val="90"/>
          <w:lang w:eastAsia="zh-CN"/>
        </w:rPr>
        <w:t>五、开标与评标</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tabs>
          <w:tab w:val="left" w:pos="420"/>
        </w:tabs>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0</w:t>
      </w:r>
      <w:r>
        <w:rPr>
          <w:rFonts w:hint="eastAsia" w:asciiTheme="minorEastAsia" w:hAnsiTheme="minorEastAsia" w:eastAsiaTheme="minorEastAsia"/>
          <w:b/>
          <w:bCs/>
          <w:lang w:eastAsia="zh-CN"/>
        </w:rPr>
        <w:t>.开标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.1 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在“投标人须知前附表”中规定的日期、时间和地点组织公开开标。开标时邀请所有投标人代表参加，参加开标的代表应签名报到以证明其出席。</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.2 开标时，招标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当众宣读投标人名称、招标编号（项目名称）、投标价格、是否提交了投标保证金，以及招标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认为合适的其他内容。除了按规定原封退回迟到的以及未按规定密封的投标之外，开标时将不得拒绝任何投标。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.3 在开标时没有读出的有关声明，在评标时将不予考虑。</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.4 招标将做开标记录。</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1</w:t>
      </w:r>
      <w:r>
        <w:rPr>
          <w:rFonts w:hint="eastAsia" w:asciiTheme="minorEastAsia" w:hAnsiTheme="minorEastAsia" w:eastAsiaTheme="minorEastAsia"/>
          <w:b/>
          <w:bCs/>
          <w:lang w:eastAsia="zh-CN"/>
        </w:rPr>
        <w:t>.  评标</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.1 评标委员会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.1.1 招标机构将按照“中华人民共和国招标投标法”及有关规定组建评标委员会。</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 xml:space="preserve">.1.2 </w:t>
      </w:r>
      <w:r>
        <w:rPr>
          <w:rFonts w:hint="eastAsia" w:asciiTheme="minorEastAsia" w:hAnsiTheme="minorEastAsia" w:eastAsiaTheme="minorEastAsia"/>
          <w:highlight w:val="none"/>
          <w:lang w:eastAsia="zh-CN"/>
        </w:rPr>
        <w:t>评标委员会由招标人代表及有关经济、技术等方面的专家组成。</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.1.3评标委员会负责评标工作，对投标文件进行审查和评估。</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 xml:space="preserve"> </w:t>
      </w:r>
      <w:r>
        <w:rPr>
          <w:rFonts w:hint="eastAsia" w:asciiTheme="minorEastAsia" w:hAnsiTheme="minorEastAsia" w:eastAsiaTheme="minorEastAsia"/>
          <w:bCs/>
          <w:lang w:eastAsia="zh-CN"/>
        </w:rPr>
        <w:t>评标方法：综合评标法</w:t>
      </w:r>
      <w:r>
        <w:rPr>
          <w:rFonts w:hint="eastAsia" w:asciiTheme="minorEastAsia" w:hAnsiTheme="minorEastAsia" w:eastAsiaTheme="minorEastAsia"/>
          <w:lang w:eastAsia="zh-CN"/>
        </w:rPr>
        <w:t>。</w:t>
      </w:r>
    </w:p>
    <w:p>
      <w:pPr>
        <w:spacing w:line="360" w:lineRule="auto"/>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.3   投标文件的澄清</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.3.1 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pacing w:line="36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.4</w:t>
      </w:r>
      <w:r>
        <w:rPr>
          <w:rFonts w:hint="eastAsia" w:asciiTheme="minorEastAsia" w:hAnsiTheme="minorEastAsia" w:eastAsiaTheme="minorEastAsia"/>
          <w:bCs/>
          <w:lang w:val="en-US" w:eastAsia="zh-CN"/>
        </w:rPr>
        <w:t xml:space="preserve">  </w:t>
      </w:r>
      <w:r>
        <w:rPr>
          <w:rFonts w:hint="eastAsia" w:asciiTheme="minorEastAsia" w:hAnsiTheme="minorEastAsia" w:eastAsiaTheme="minorEastAsia"/>
          <w:bCs/>
          <w:lang w:eastAsia="zh-CN"/>
        </w:rPr>
        <w:t>资格审查</w:t>
      </w:r>
    </w:p>
    <w:p>
      <w:pPr>
        <w:tabs>
          <w:tab w:val="left" w:pos="0"/>
        </w:tabs>
        <w:spacing w:line="360" w:lineRule="auto"/>
        <w:ind w:firstLine="660" w:firstLineChars="300"/>
        <w:rPr>
          <w:rFonts w:asciiTheme="minorEastAsia" w:hAnsiTheme="minorEastAsia" w:eastAsiaTheme="minorEastAsia"/>
          <w:lang w:eastAsia="zh-CN"/>
        </w:rPr>
      </w:pPr>
      <w:r>
        <w:rPr>
          <w:rFonts w:hint="eastAsia" w:asciiTheme="minorEastAsia" w:hAnsiTheme="minorEastAsia" w:eastAsiaTheme="minorEastAsia"/>
          <w:lang w:eastAsia="zh-CN"/>
        </w:rPr>
        <w:t>评标委员会根据招标文件中要求的投标人资格，在初步审查前对各投标人进行资格审查。</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.5</w:t>
      </w:r>
      <w:r>
        <w:rPr>
          <w:rFonts w:hint="eastAsia" w:asciiTheme="minorEastAsia" w:hAnsiTheme="minorEastAsia" w:eastAsiaTheme="minorEastAsia"/>
          <w:lang w:eastAsia="zh-CN"/>
        </w:rPr>
        <w:t xml:space="preserve">  投标文件的初审（符合性检查）</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.5.1评标委员会将审查投标文件是否完整、资格证明文件是否齐全，投标保证金是否合格、有无计算上的错误等。</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.5.2 算术错误将按以下方法更正：若单价计算的结果与总价不一致，以单价为准修改总价；若用文字表示的数值与用数字表示的数值不一致，以文字表示的数值为准。如果投标人不接受对其错误的更正，其投标将被拒绝。</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.5.3 对于投标文件中不构成实质性偏差的不正规、不一致或不规则，招标方可以接受，但这种接受将影响投标人的综合得分。</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.5.4 在详细评标之前，根据本须知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.5.5 实质上没有响应招标文件要求的投标将被拒绝。投标人不得通过修正或撤销不合要求的偏离或保留从而使其投标成为实质上响应的投标。如发现下列情况之一的，其投标将被拒绝：</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(1)投标书、投标报价一览表未按招标文件规定的要求由授权代表签字和加盖公章的；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(2)投标人未提交投标保证金或金额不足的；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(3)投标有效期不足的；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(4)投标人的资格不符合招标文件规定的；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(5)投标人递交两份或多份内容不同的投标文件，或在一份投标文件中对同一招标项目报有两个或多个报价，且未声明哪一个有效的；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(6)投标报价没有提供报价明细表的；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(7)其投标报价超过招标文件规定的招标控制价的；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(8)投标文件电子版未按规定要求提交的；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(9)投标文件中提供虚假或失实资料的；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(10)投标人相互串通投标的；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(11)有实质性偏离、缺陷、条件限制或保留；</w:t>
      </w:r>
    </w:p>
    <w:p>
      <w:pPr>
        <w:tabs>
          <w:tab w:val="left" w:pos="1440"/>
        </w:tabs>
        <w:spacing w:line="360" w:lineRule="auto"/>
        <w:ind w:left="440" w:hanging="440" w:hangingChars="200"/>
        <w:rPr>
          <w:rFonts w:asciiTheme="minorEastAsia" w:hAnsiTheme="minorEastAsia" w:eastAsiaTheme="minorEastAsia"/>
          <w:lang w:eastAsia="zh-CN"/>
        </w:rPr>
      </w:pPr>
      <w:r>
        <w:rPr>
          <w:rFonts w:asciiTheme="minorEastAsia" w:hAnsiTheme="minorEastAsia" w:eastAsiaTheme="minorEastAsia"/>
          <w:lang w:eastAsia="zh-CN"/>
        </w:rPr>
        <w:t>说明：有下列情形之一的，视为投标人相互串通投标：</w:t>
      </w:r>
      <w:r>
        <w:rPr>
          <w:rFonts w:asciiTheme="minorEastAsia" w:hAnsiTheme="minorEastAsia" w:eastAsiaTheme="minorEastAsia"/>
          <w:lang w:eastAsia="zh-CN"/>
        </w:rPr>
        <w:br w:type="textWrapping"/>
      </w:r>
      <w:r>
        <w:rPr>
          <w:rFonts w:hint="eastAsia" w:asciiTheme="minorEastAsia" w:hAnsiTheme="minorEastAsia" w:eastAsiaTheme="minorEastAsia"/>
          <w:lang w:eastAsia="zh-CN"/>
        </w:rPr>
        <w:t>（a）不同投标人的投标文件由同一单位或者个人编制；</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（b）不同投标人委托同一单位或者个人办理投标事宜；</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（c）不同投标人的投标文件载明的项目管理成员为同一人；</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（d）不同投标人的投标文件异常一致或者投标报价呈规律性差异；</w:t>
      </w:r>
    </w:p>
    <w:p>
      <w:pPr>
        <w:tabs>
          <w:tab w:val="left" w:pos="1440"/>
        </w:tabs>
        <w:spacing w:line="360" w:lineRule="auto"/>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（e）不同投标人的投标文件相互混装；</w:t>
      </w:r>
    </w:p>
    <w:p>
      <w:pPr>
        <w:spacing w:line="360" w:lineRule="auto"/>
        <w:ind w:left="1320" w:leftChars="200" w:hanging="880" w:hangingChars="400"/>
        <w:rPr>
          <w:rFonts w:asciiTheme="minorEastAsia" w:hAnsiTheme="minorEastAsia" w:eastAsiaTheme="minorEastAsia"/>
          <w:lang w:eastAsia="zh-CN"/>
        </w:rPr>
      </w:pPr>
      <w:r>
        <w:rPr>
          <w:rFonts w:hint="eastAsia" w:asciiTheme="minorEastAsia" w:hAnsiTheme="minorEastAsia" w:eastAsiaTheme="minorEastAsia"/>
          <w:lang w:eastAsia="zh-CN"/>
        </w:rPr>
        <w:t>（f）不同投标人的投标保证金从同一单位或者个人的账户转出。</w:t>
      </w:r>
    </w:p>
    <w:p>
      <w:pPr>
        <w:spacing w:line="360" w:lineRule="auto"/>
        <w:ind w:left="1320" w:hanging="1320" w:hangingChars="600"/>
        <w:rPr>
          <w:rFonts w:asciiTheme="minorEastAsia" w:hAnsiTheme="minorEastAsia" w:eastAsiaTheme="minorEastAsia"/>
          <w:bCs/>
          <w:lang w:eastAsia="zh-CN"/>
        </w:rPr>
      </w:pPr>
      <w:r>
        <w:rPr>
          <w:rFonts w:hint="eastAsia" w:asciiTheme="minorEastAsia" w:hAnsiTheme="minorEastAsia" w:eastAsiaTheme="minorEastAsia"/>
          <w:bCs/>
          <w:lang w:eastAsia="zh-CN"/>
        </w:rPr>
        <w:t>2</w:t>
      </w:r>
      <w:r>
        <w:rPr>
          <w:rFonts w:hint="eastAsia" w:asciiTheme="minorEastAsia" w:hAnsiTheme="minorEastAsia" w:eastAsiaTheme="minorEastAsia"/>
          <w:bCs/>
          <w:lang w:val="en-US" w:eastAsia="zh-CN"/>
        </w:rPr>
        <w:t>1</w:t>
      </w:r>
      <w:r>
        <w:rPr>
          <w:rFonts w:hint="eastAsia" w:asciiTheme="minorEastAsia" w:hAnsiTheme="minorEastAsia" w:eastAsiaTheme="minorEastAsia"/>
          <w:bCs/>
          <w:lang w:eastAsia="zh-CN"/>
        </w:rPr>
        <w:t xml:space="preserve">.6 </w:t>
      </w:r>
      <w:r>
        <w:rPr>
          <w:rFonts w:hint="eastAsia" w:asciiTheme="minorEastAsia" w:hAnsiTheme="minorEastAsia" w:eastAsiaTheme="minorEastAsia"/>
          <w:lang w:eastAsia="zh-CN"/>
        </w:rPr>
        <w:t>投标文件的详细评审</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.6.1 评标委员会将按照本须知规定，只对确定为实质上响应招标文件要求的投标进行详细评审。</w:t>
      </w:r>
    </w:p>
    <w:p>
      <w:pPr>
        <w:spacing w:line="360" w:lineRule="auto"/>
        <w:ind w:left="770" w:hanging="770" w:hangingChars="3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.6.2 详细评审即以招标文件为依据，对所有实质上响应的投标分别从“商务”、“技术”、“价格”三个方面进行评审并按照百分制进行综合打分。</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中标人的确定</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7.1评标委员会依据本招标文件“评标标准和方法”，对投标文件进行评审和比较，向招标人提交书面评标报告，并依次推荐综合得分排名位于前3位的合格投标人为中标候选人。如果二个投标人的综合评分相同时，取投标价格低者。综合评分和投标报价均相同的，取技术得分高者。</w:t>
      </w:r>
    </w:p>
    <w:p>
      <w:pPr>
        <w:spacing w:line="360" w:lineRule="auto"/>
        <w:ind w:left="752" w:hanging="752" w:hangingChars="342"/>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.7.2招标人根据评标委员会提出的书面评标报告和推荐的中标候选人，依据国家和地方现行法律法规确定中标人。</w:t>
      </w:r>
    </w:p>
    <w:p>
      <w:pPr>
        <w:spacing w:line="360" w:lineRule="auto"/>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2</w:t>
      </w:r>
      <w:r>
        <w:rPr>
          <w:rFonts w:hint="eastAsia" w:asciiTheme="minorEastAsia" w:hAnsiTheme="minorEastAsia" w:eastAsiaTheme="minorEastAsia"/>
          <w:b/>
          <w:bCs/>
          <w:lang w:eastAsia="zh-CN"/>
        </w:rPr>
        <w:t>. 与招标人和评标委员会的接触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.1 除本须知的规定外，从开标之日起至授予合同期间，投标人不得就与其投标有关的事项与招标人以及评标委员会成员接触。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.2 投标人试图对招标人和评标委员会的评标、比较或授予合同的决定进行影响，都可能导致其投标被拒绝。</w:t>
      </w:r>
    </w:p>
    <w:p>
      <w:pPr>
        <w:keepNext/>
        <w:keepLines/>
        <w:spacing w:before="260" w:after="260" w:line="360" w:lineRule="auto"/>
        <w:jc w:val="center"/>
        <w:outlineLvl w:val="1"/>
        <w:rPr>
          <w:rFonts w:cs="Arial" w:asciiTheme="minorEastAsia" w:hAnsiTheme="minorEastAsia" w:eastAsiaTheme="minorEastAsia"/>
          <w:b/>
          <w:bCs/>
          <w:w w:val="90"/>
          <w:lang w:eastAsia="zh-CN"/>
        </w:rPr>
      </w:pPr>
      <w:bookmarkStart w:id="139" w:name="_Toc465350689"/>
      <w:bookmarkStart w:id="140" w:name="_Toc236555298"/>
      <w:bookmarkStart w:id="141" w:name="_Toc319056980"/>
      <w:bookmarkStart w:id="142" w:name="_Toc49019223"/>
      <w:bookmarkStart w:id="143" w:name="_Toc47416184"/>
      <w:bookmarkStart w:id="144" w:name="_Toc47415930"/>
      <w:bookmarkStart w:id="145" w:name="_Toc411245403"/>
      <w:bookmarkStart w:id="146" w:name="_Toc29512"/>
      <w:bookmarkStart w:id="147" w:name="_Toc99466907"/>
      <w:r>
        <w:rPr>
          <w:rFonts w:hint="eastAsia" w:cs="Arial" w:asciiTheme="minorEastAsia" w:hAnsiTheme="minorEastAsia" w:eastAsiaTheme="minorEastAsia"/>
          <w:b/>
          <w:bCs/>
          <w:w w:val="90"/>
          <w:lang w:eastAsia="zh-CN"/>
        </w:rPr>
        <w:t>六、授予合同</w:t>
      </w:r>
      <w:bookmarkEnd w:id="139"/>
      <w:bookmarkEnd w:id="140"/>
      <w:bookmarkEnd w:id="141"/>
      <w:bookmarkEnd w:id="142"/>
      <w:bookmarkEnd w:id="143"/>
      <w:bookmarkEnd w:id="144"/>
      <w:bookmarkEnd w:id="145"/>
      <w:bookmarkEnd w:id="146"/>
      <w:bookmarkEnd w:id="147"/>
    </w:p>
    <w:p>
      <w:pPr>
        <w:spacing w:line="360" w:lineRule="auto"/>
        <w:ind w:left="552" w:hanging="552" w:hangingChars="250"/>
        <w:rPr>
          <w:rFonts w:asciiTheme="minorEastAsia" w:hAnsiTheme="minorEastAsia" w:eastAsiaTheme="minorEastAsia"/>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lang w:eastAsia="zh-CN"/>
        </w:rPr>
        <w:t>. 合同授予标准</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.1 招标人将把合同授予被确定为实质上响应招标文件的要求并有履行合同能力的综合得分最高的投标人。</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4</w:t>
      </w:r>
      <w:r>
        <w:rPr>
          <w:rFonts w:hint="eastAsia" w:asciiTheme="minorEastAsia" w:hAnsiTheme="minorEastAsia" w:eastAsiaTheme="minorEastAsia"/>
          <w:b/>
          <w:bCs/>
          <w:lang w:eastAsia="zh-CN"/>
        </w:rPr>
        <w:t>. 授标时更改采购货物数量的权力</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.1 招标方在授予合同时有权在“投标人须知前附表”规定的幅度内对招标文件规定的货物数量和服务予以增加或减少，投标人不得对单价或其它的条款和条件做任何改变。</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5</w:t>
      </w:r>
      <w:r>
        <w:rPr>
          <w:rFonts w:hint="eastAsia" w:asciiTheme="minorEastAsia" w:hAnsiTheme="minorEastAsia" w:eastAsiaTheme="minorEastAsia"/>
          <w:b/>
          <w:bCs/>
          <w:lang w:eastAsia="zh-CN"/>
        </w:rPr>
        <w:t>. 招标人权利</w:t>
      </w:r>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.1 在评标委员会专家评审结果的基础上有接受和拒绝任何或所有投标的权力。</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6</w:t>
      </w:r>
      <w:r>
        <w:rPr>
          <w:rFonts w:hint="eastAsia" w:asciiTheme="minorEastAsia" w:hAnsiTheme="minorEastAsia" w:eastAsiaTheme="minorEastAsia"/>
          <w:b/>
          <w:bCs/>
          <w:lang w:eastAsia="zh-CN"/>
        </w:rPr>
        <w:t>. 中标通知书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.1 本项目中标候选人公示时间不少于3日，在公示期间，投标人或者其他利害关系人对评标结果有异议的，招标方自收到异议之日起3日内作出答复。中标人确定后，招标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将向中标人发出中标通知书。</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6</w:t>
      </w:r>
      <w:r>
        <w:rPr>
          <w:rFonts w:hint="eastAsia" w:asciiTheme="minorEastAsia" w:hAnsiTheme="minorEastAsia" w:eastAsiaTheme="minorEastAsia"/>
          <w:lang w:eastAsia="zh-CN"/>
        </w:rPr>
        <w:t>.2 中标通知书是合同的一个组成部分。</w:t>
      </w:r>
    </w:p>
    <w:p>
      <w:pPr>
        <w:spacing w:line="360" w:lineRule="auto"/>
        <w:ind w:left="552" w:hanging="552" w:hangingChars="250"/>
        <w:rPr>
          <w:rFonts w:asciiTheme="minorEastAsia" w:hAnsiTheme="minorEastAsia" w:eastAsiaTheme="minorEastAsia"/>
          <w:b/>
          <w:bCs/>
          <w:lang w:eastAsia="zh-CN"/>
        </w:rPr>
      </w:pPr>
      <w:r>
        <w:rPr>
          <w:rFonts w:hint="eastAsia" w:asciiTheme="minorEastAsia" w:hAnsiTheme="minorEastAsia" w:eastAsiaTheme="minorEastAsia"/>
          <w:b/>
          <w:bCs/>
          <w:lang w:eastAsia="zh-CN"/>
        </w:rPr>
        <w:t>2</w:t>
      </w:r>
      <w:r>
        <w:rPr>
          <w:rFonts w:hint="eastAsia" w:asciiTheme="minorEastAsia" w:hAnsiTheme="minorEastAsia" w:eastAsiaTheme="minorEastAsia"/>
          <w:b/>
          <w:bCs/>
          <w:lang w:val="en-US" w:eastAsia="zh-CN"/>
        </w:rPr>
        <w:t>7</w:t>
      </w:r>
      <w:r>
        <w:rPr>
          <w:rFonts w:hint="eastAsia" w:asciiTheme="minorEastAsia" w:hAnsiTheme="minorEastAsia" w:eastAsiaTheme="minorEastAsia"/>
          <w:b/>
          <w:bCs/>
          <w:lang w:eastAsia="zh-CN"/>
        </w:rPr>
        <w:t>. 签订合同</w:t>
      </w:r>
    </w:p>
    <w:p>
      <w:pPr>
        <w:spacing w:line="360" w:lineRule="auto"/>
        <w:ind w:left="550" w:hanging="550" w:hangingChars="250"/>
        <w:rPr>
          <w:rFonts w:hint="eastAsia" w:asciiTheme="minorEastAsia" w:hAnsiTheme="minorEastAsia" w:eastAsiaTheme="minorEastAsia"/>
          <w:lang w:eastAsia="zh-CN"/>
        </w:rPr>
      </w:pPr>
      <w:r>
        <w:rPr>
          <w:rFonts w:hint="eastAsia" w:asciiTheme="minorEastAsia" w:hAnsiTheme="minorEastAsia" w:eastAsiaTheme="minorEastAsia"/>
          <w:lang w:eastAsia="zh-CN"/>
        </w:rPr>
        <w:t>2</w:t>
      </w:r>
      <w:r>
        <w:rPr>
          <w:rFonts w:hint="eastAsia" w:asciiTheme="minorEastAsia" w:hAnsiTheme="minorEastAsia" w:eastAsiaTheme="minorEastAsia"/>
          <w:lang w:val="en-US" w:eastAsia="zh-CN"/>
        </w:rPr>
        <w:t>7</w:t>
      </w:r>
      <w:r>
        <w:rPr>
          <w:rFonts w:hint="eastAsia" w:asciiTheme="minorEastAsia" w:hAnsiTheme="minorEastAsia" w:eastAsiaTheme="minorEastAsia"/>
          <w:lang w:eastAsia="zh-CN"/>
        </w:rPr>
        <w:t>.1中标人在收到招标</w:t>
      </w:r>
      <w:r>
        <w:rPr>
          <w:rFonts w:hint="eastAsia" w:asciiTheme="minorEastAsia" w:hAnsiTheme="minorEastAsia" w:eastAsiaTheme="minorEastAsia"/>
          <w:lang w:val="en-US" w:eastAsia="zh-CN"/>
        </w:rPr>
        <w:t>方</w:t>
      </w:r>
      <w:r>
        <w:rPr>
          <w:rFonts w:hint="eastAsia" w:asciiTheme="minorEastAsia" w:hAnsiTheme="minorEastAsia" w:eastAsiaTheme="minorEastAsia"/>
          <w:lang w:eastAsia="zh-CN"/>
        </w:rPr>
        <w:t>的中标通知书后十天内，应按招标文件的要求与招标人或指定代理人签订合同。</w:t>
      </w:r>
    </w:p>
    <w:p>
      <w:pPr>
        <w:spacing w:line="360" w:lineRule="auto"/>
        <w:ind w:left="550" w:hanging="550" w:hangingChars="250"/>
        <w:rPr>
          <w:rFonts w:hint="eastAsia" w:asciiTheme="minorEastAsia" w:hAnsiTheme="minorEastAsia" w:eastAsiaTheme="minorEastAsia"/>
          <w:lang w:eastAsia="zh-CN"/>
        </w:rPr>
      </w:pPr>
    </w:p>
    <w:p>
      <w:pPr>
        <w:spacing w:line="360" w:lineRule="auto"/>
        <w:ind w:left="552" w:hanging="552" w:hangingChars="250"/>
        <w:rPr>
          <w:rFonts w:asciiTheme="minorEastAsia" w:hAnsiTheme="minorEastAsia" w:eastAsiaTheme="minorEastAsia"/>
          <w:b/>
          <w:bCs/>
          <w:lang w:eastAsia="zh-CN"/>
        </w:rPr>
      </w:pPr>
      <w:bookmarkStart w:id="148" w:name="_Toc158713593"/>
      <w:bookmarkStart w:id="149" w:name="_Toc160427784"/>
      <w:bookmarkStart w:id="150" w:name="_Toc160427943"/>
      <w:r>
        <w:rPr>
          <w:rFonts w:hint="eastAsia" w:asciiTheme="minorEastAsia" w:hAnsiTheme="minorEastAsia" w:eastAsiaTheme="minorEastAsia"/>
          <w:b/>
          <w:bCs/>
          <w:lang w:val="en-US" w:eastAsia="zh-CN"/>
        </w:rPr>
        <w:t>28</w:t>
      </w:r>
      <w:r>
        <w:rPr>
          <w:rFonts w:hint="eastAsia" w:asciiTheme="minorEastAsia" w:hAnsiTheme="minorEastAsia" w:eastAsiaTheme="minorEastAsia"/>
          <w:b/>
          <w:bCs/>
          <w:lang w:eastAsia="zh-CN"/>
        </w:rPr>
        <w:t>． 知识产权</w:t>
      </w:r>
      <w:bookmarkEnd w:id="148"/>
      <w:bookmarkEnd w:id="149"/>
      <w:bookmarkEnd w:id="150"/>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.1 招标人对中标人产品和服务的购买，包含完整的全部知识产权的授权使用。中标人应保证知识产权使用授权的完整性，并保证没有任何第三方针对招标人采购的产品和服务主张知识产权的使用许可的权利。</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.2 当任何单位或个人就知识产权的使用许可主张权利的时候，该项主张自动指向中标人；任何涉及的法律诉讼，也都自动指向中标人；招标人不承担任何责任。</w:t>
      </w:r>
    </w:p>
    <w:p>
      <w:pPr>
        <w:spacing w:line="360" w:lineRule="auto"/>
        <w:ind w:left="440" w:hanging="440" w:hangingChars="20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.3 如第三方对合同标的物主张所有权或知识产权的侵权损害赔偿请求，招标人有权依据有关规定解除合同，并追究中标人的违约责任。在合同履行过程中，招标人有确切证据证明第三人可能就合同标的物主张权利的，招标人有权中止支付相应的价款，但中标人提供适当担保的除外。</w:t>
      </w:r>
    </w:p>
    <w:p>
      <w:pPr>
        <w:spacing w:line="360" w:lineRule="auto"/>
        <w:ind w:left="550" w:hanging="550" w:hangingChars="250"/>
        <w:rPr>
          <w:rFonts w:asciiTheme="minorEastAsia" w:hAnsiTheme="minorEastAsia" w:eastAsiaTheme="minorEastAsia"/>
          <w:lang w:eastAsia="zh-CN"/>
        </w:rPr>
      </w:pPr>
      <w:r>
        <w:rPr>
          <w:rFonts w:hint="eastAsia" w:asciiTheme="minorEastAsia" w:hAnsiTheme="minorEastAsia" w:eastAsiaTheme="minorEastAsia"/>
          <w:lang w:val="en-US" w:eastAsia="zh-CN"/>
        </w:rPr>
        <w:t>28</w:t>
      </w:r>
      <w:r>
        <w:rPr>
          <w:rFonts w:hint="eastAsia" w:asciiTheme="minorEastAsia" w:hAnsiTheme="minorEastAsia" w:eastAsiaTheme="minorEastAsia"/>
          <w:lang w:eastAsia="zh-CN"/>
        </w:rPr>
        <w:t>.4 因为第三人对招标人主张权利而发生的纠纷，中标人应承担相应的法律责任和诉讼费用、律师费用、其他为解除纠纷而发生的费用以及由此给招标人造成的经济损失。</w:t>
      </w:r>
    </w:p>
    <w:p>
      <w:pPr>
        <w:spacing w:line="360" w:lineRule="auto"/>
        <w:ind w:left="550" w:hanging="550" w:hangingChars="250"/>
        <w:rPr>
          <w:rFonts w:asciiTheme="minorEastAsia" w:hAnsiTheme="minorEastAsia" w:eastAsiaTheme="minorEastAsia"/>
          <w:lang w:eastAsia="zh-CN"/>
        </w:rPr>
      </w:pPr>
    </w:p>
    <w:p>
      <w:pPr>
        <w:spacing w:line="360" w:lineRule="auto"/>
        <w:ind w:left="550" w:hanging="550" w:hangingChars="250"/>
        <w:rPr>
          <w:rFonts w:asciiTheme="minorEastAsia" w:hAnsiTheme="minorEastAsia" w:eastAsiaTheme="minorEastAsia"/>
          <w:lang w:eastAsia="zh-CN"/>
        </w:rPr>
        <w:sectPr>
          <w:pgSz w:w="11906" w:h="16838"/>
          <w:pgMar w:top="1089" w:right="1599" w:bottom="1089" w:left="1599" w:header="851" w:footer="850" w:gutter="0"/>
          <w:pgNumType w:fmt="decimal"/>
          <w:cols w:space="0" w:num="1"/>
          <w:docGrid w:linePitch="312" w:charSpace="0"/>
        </w:sectPr>
      </w:pPr>
    </w:p>
    <w:p>
      <w:pPr>
        <w:rPr>
          <w:rFonts w:asciiTheme="minorEastAsia" w:hAnsiTheme="minorEastAsia" w:eastAsiaTheme="minorEastAsia"/>
          <w:lang w:eastAsia="zh-CN"/>
        </w:rPr>
      </w:pPr>
      <w:bookmarkStart w:id="151" w:name="_Toc47416185"/>
      <w:bookmarkStart w:id="152" w:name="_Toc49019224"/>
      <w:bookmarkStart w:id="153" w:name="_Toc319056981"/>
      <w:bookmarkStart w:id="154" w:name="_Toc236555299"/>
      <w:bookmarkStart w:id="155" w:name="_Toc47415931"/>
      <w:bookmarkStart w:id="156" w:name="_Toc99466908"/>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157" w:name="_Toc465350690"/>
      <w:bookmarkStart w:id="158" w:name="_Toc411245404"/>
      <w:bookmarkStart w:id="159" w:name="_Toc32096"/>
      <w:r>
        <w:rPr>
          <w:rFonts w:hint="eastAsia" w:ascii="宋体" w:hAnsi="宋体"/>
          <w:b/>
          <w:bCs/>
          <w:kern w:val="44"/>
          <w:sz w:val="44"/>
          <w:szCs w:val="36"/>
          <w:lang w:eastAsia="zh-CN" w:bidi="ar-SA"/>
        </w:rPr>
        <w:t>第四章  合同专用条款</w:t>
      </w:r>
      <w:bookmarkEnd w:id="151"/>
      <w:bookmarkEnd w:id="152"/>
      <w:bookmarkEnd w:id="153"/>
      <w:bookmarkEnd w:id="154"/>
      <w:bookmarkEnd w:id="155"/>
      <w:bookmarkEnd w:id="156"/>
      <w:bookmarkEnd w:id="157"/>
      <w:bookmarkEnd w:id="158"/>
      <w:bookmarkEnd w:id="159"/>
    </w:p>
    <w:p>
      <w:pPr>
        <w:ind w:firstLine="440" w:firstLineChars="200"/>
        <w:rPr>
          <w:rFonts w:asciiTheme="minorEastAsia" w:hAnsiTheme="minorEastAsia" w:eastAsiaTheme="minorEastAsia"/>
          <w:lang w:eastAsia="zh-CN"/>
        </w:rPr>
      </w:pPr>
      <w:r>
        <w:rPr>
          <w:rFonts w:asciiTheme="minorEastAsia" w:hAnsiTheme="minorEastAsia" w:eastAsiaTheme="minorEastAsia"/>
          <w:color w:val="000000"/>
          <w:lang w:eastAsia="zh-CN"/>
        </w:rPr>
        <w:t>中标方选定后</w:t>
      </w:r>
      <w:r>
        <w:rPr>
          <w:rFonts w:hint="eastAsia" w:asciiTheme="minorEastAsia" w:hAnsiTheme="minorEastAsia" w:eastAsiaTheme="minorEastAsia"/>
          <w:color w:val="000000"/>
          <w:lang w:eastAsia="zh-CN"/>
        </w:rPr>
        <w:t>，双方签署相关合同约定权利</w:t>
      </w:r>
      <w:r>
        <w:rPr>
          <w:rFonts w:hint="eastAsia" w:asciiTheme="minorEastAsia" w:hAnsiTheme="minorEastAsia" w:eastAsiaTheme="minorEastAsia"/>
          <w:color w:val="000000"/>
          <w:lang w:val="en-US" w:eastAsia="zh-CN"/>
        </w:rPr>
        <w:t>义务</w:t>
      </w:r>
      <w:r>
        <w:rPr>
          <w:rFonts w:hint="eastAsia" w:asciiTheme="minorEastAsia" w:hAnsiTheme="minorEastAsia" w:eastAsiaTheme="minorEastAsia"/>
          <w:color w:val="000000"/>
          <w:lang w:eastAsia="zh-CN"/>
        </w:rPr>
        <w:t>、付款方式、验收方式等相关事宜。</w:t>
      </w:r>
      <w:r>
        <w:rPr>
          <w:rFonts w:hint="eastAsia" w:asciiTheme="minorEastAsia" w:hAnsiTheme="minorEastAsia" w:eastAsiaTheme="minorEastAsia"/>
          <w:b/>
          <w:bCs/>
          <w:lang w:eastAsia="zh-CN"/>
        </w:rPr>
        <w:br w:type="page"/>
      </w:r>
      <w:bookmarkStart w:id="160" w:name="_Toc49019225"/>
      <w:bookmarkStart w:id="161" w:name="_Toc324152520"/>
      <w:bookmarkStart w:id="162" w:name="_Toc47416186"/>
      <w:bookmarkStart w:id="163" w:name="_Toc47415932"/>
      <w:bookmarkStart w:id="164" w:name="_Toc236555300"/>
      <w:bookmarkStart w:id="165" w:name="_Toc99466909"/>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宋体" w:hAnsi="宋体"/>
          <w:b/>
          <w:bCs/>
          <w:kern w:val="44"/>
          <w:sz w:val="44"/>
          <w:szCs w:val="36"/>
          <w:lang w:eastAsia="zh-CN" w:bidi="ar-SA"/>
        </w:rPr>
      </w:pPr>
      <w:bookmarkStart w:id="166" w:name="_Toc465350691"/>
      <w:bookmarkStart w:id="167" w:name="_Toc2251"/>
      <w:bookmarkStart w:id="168" w:name="_Toc411245405"/>
      <w:r>
        <w:rPr>
          <w:rFonts w:hint="eastAsia" w:ascii="宋体" w:hAnsi="宋体"/>
          <w:b/>
          <w:bCs/>
          <w:kern w:val="44"/>
          <w:sz w:val="44"/>
          <w:szCs w:val="36"/>
          <w:lang w:eastAsia="zh-CN" w:bidi="ar-SA"/>
        </w:rPr>
        <w:t>第五章 合同通用条款</w:t>
      </w:r>
      <w:bookmarkEnd w:id="160"/>
      <w:bookmarkEnd w:id="161"/>
      <w:bookmarkEnd w:id="162"/>
      <w:bookmarkEnd w:id="163"/>
      <w:bookmarkEnd w:id="164"/>
      <w:bookmarkEnd w:id="166"/>
      <w:bookmarkEnd w:id="167"/>
      <w:bookmarkEnd w:id="168"/>
    </w:p>
    <w:bookmarkEnd w:id="165"/>
    <w:p>
      <w:pPr>
        <w:spacing w:after="120" w:afterLines="50" w:line="360" w:lineRule="auto"/>
        <w:jc w:val="center"/>
        <w:rPr>
          <w:rFonts w:asciiTheme="minorEastAsia" w:hAnsiTheme="minorEastAsia" w:eastAsiaTheme="minorEastAsia"/>
          <w:lang w:eastAsia="zh-CN"/>
        </w:rPr>
      </w:pPr>
      <w:bookmarkStart w:id="169" w:name="_Toc236555302"/>
      <w:bookmarkStart w:id="170" w:name="_Toc324152522"/>
      <w:r>
        <w:rPr>
          <w:rFonts w:asciiTheme="minorEastAsia" w:hAnsiTheme="minorEastAsia" w:eastAsiaTheme="minorEastAsia"/>
          <w:color w:val="000000"/>
          <w:lang w:eastAsia="zh-CN"/>
        </w:rPr>
        <w:t>中标方选定后</w:t>
      </w:r>
      <w:r>
        <w:rPr>
          <w:rFonts w:hint="eastAsia" w:asciiTheme="minorEastAsia" w:hAnsiTheme="minorEastAsia" w:eastAsiaTheme="minorEastAsia"/>
          <w:color w:val="000000"/>
          <w:lang w:eastAsia="zh-CN"/>
        </w:rPr>
        <w:t>，双方签署相关合同约定权利</w:t>
      </w:r>
      <w:r>
        <w:rPr>
          <w:rFonts w:hint="eastAsia" w:asciiTheme="minorEastAsia" w:hAnsiTheme="minorEastAsia" w:eastAsiaTheme="minorEastAsia"/>
          <w:color w:val="000000"/>
          <w:lang w:val="en-US" w:eastAsia="zh-CN"/>
        </w:rPr>
        <w:t>义务</w:t>
      </w:r>
      <w:r>
        <w:rPr>
          <w:rFonts w:hint="eastAsia" w:asciiTheme="minorEastAsia" w:hAnsiTheme="minorEastAsia" w:eastAsiaTheme="minorEastAsia"/>
          <w:color w:val="000000"/>
          <w:lang w:eastAsia="zh-CN"/>
        </w:rPr>
        <w:t>、付款方式、验收方式等相关事宜。</w:t>
      </w:r>
    </w:p>
    <w:p>
      <w:pPr>
        <w:spacing w:after="120" w:afterLines="50" w:line="360" w:lineRule="auto"/>
        <w:ind w:left="720"/>
        <w:rPr>
          <w:rFonts w:asciiTheme="minorEastAsia" w:hAnsiTheme="minorEastAsia" w:eastAsiaTheme="minorEastAsia"/>
          <w:lang w:eastAsia="zh-CN"/>
        </w:rPr>
      </w:pPr>
    </w:p>
    <w:p>
      <w:pPr>
        <w:spacing w:line="360" w:lineRule="auto"/>
        <w:rPr>
          <w:rFonts w:asciiTheme="minorEastAsia" w:hAnsiTheme="minorEastAsia" w:eastAsiaTheme="minorEastAsia"/>
          <w:b/>
          <w:bCs/>
          <w:lang w:eastAsia="zh-CN"/>
        </w:rPr>
      </w:pPr>
    </w:p>
    <w:p>
      <w:pPr>
        <w:spacing w:line="360" w:lineRule="auto"/>
        <w:ind w:left="550" w:hanging="550" w:hangingChars="250"/>
        <w:rPr>
          <w:rFonts w:asciiTheme="minorEastAsia" w:hAnsiTheme="minorEastAsia" w:eastAsiaTheme="minorEastAsia"/>
          <w:lang w:eastAsia="zh-CN"/>
        </w:rPr>
        <w:sectPr>
          <w:headerReference r:id="rId11" w:type="default"/>
          <w:pgSz w:w="11906" w:h="16838"/>
          <w:pgMar w:top="1089" w:right="1599" w:bottom="1089" w:left="1599" w:header="851" w:footer="850" w:gutter="0"/>
          <w:pgNumType w:fmt="decimal"/>
          <w:cols w:space="0" w:num="1"/>
          <w:docGrid w:linePitch="312" w:charSpace="0"/>
        </w:sectPr>
      </w:pPr>
    </w:p>
    <w:p>
      <w:pPr>
        <w:spacing w:line="360" w:lineRule="auto"/>
        <w:jc w:val="center"/>
        <w:rPr>
          <w:rFonts w:asciiTheme="minorEastAsia" w:hAnsiTheme="minorEastAsia" w:eastAsiaTheme="minorEastAsia"/>
          <w:lang w:eastAsia="zh-CN"/>
        </w:rPr>
      </w:pPr>
    </w:p>
    <w:p>
      <w:pPr>
        <w:spacing w:line="360" w:lineRule="auto"/>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tabs>
          <w:tab w:val="left" w:pos="2160"/>
        </w:tabs>
        <w:spacing w:before="340" w:after="330" w:line="360" w:lineRule="auto"/>
        <w:jc w:val="center"/>
        <w:outlineLvl w:val="0"/>
        <w:rPr>
          <w:rFonts w:ascii="宋体" w:hAnsi="宋体"/>
          <w:b/>
          <w:bCs/>
          <w:color w:val="000000"/>
          <w:kern w:val="44"/>
          <w:sz w:val="44"/>
          <w:szCs w:val="36"/>
          <w:lang w:eastAsia="zh-CN" w:bidi="ar-SA"/>
        </w:rPr>
        <w:sectPr>
          <w:pgSz w:w="11906" w:h="16838"/>
          <w:pgMar w:top="1089" w:right="1599" w:bottom="1089" w:left="1599" w:header="851" w:footer="850" w:gutter="0"/>
          <w:pgNumType w:fmt="decimal"/>
          <w:cols w:space="0" w:num="1"/>
        </w:sectPr>
      </w:pPr>
      <w:bookmarkStart w:id="171" w:name="_Toc411245419"/>
      <w:bookmarkStart w:id="172" w:name="_Toc465350705"/>
      <w:bookmarkStart w:id="173" w:name="_Toc30053"/>
      <w:r>
        <w:rPr>
          <w:rFonts w:hint="eastAsia" w:ascii="宋体" w:hAnsi="宋体"/>
          <w:b/>
          <w:bCs/>
          <w:color w:val="000000"/>
          <w:kern w:val="44"/>
          <w:sz w:val="44"/>
          <w:szCs w:val="36"/>
          <w:lang w:eastAsia="zh-CN" w:bidi="ar-SA"/>
        </w:rPr>
        <w:t>第六章  服务及技术要</w:t>
      </w:r>
      <w:bookmarkEnd w:id="169"/>
      <w:bookmarkEnd w:id="170"/>
      <w:bookmarkEnd w:id="171"/>
      <w:r>
        <w:rPr>
          <w:rFonts w:hint="eastAsia" w:ascii="宋体" w:hAnsi="宋体"/>
          <w:b/>
          <w:bCs/>
          <w:color w:val="000000"/>
          <w:kern w:val="44"/>
          <w:sz w:val="44"/>
          <w:szCs w:val="36"/>
          <w:lang w:eastAsia="zh-CN" w:bidi="ar-SA"/>
        </w:rPr>
        <w:t>求</w:t>
      </w:r>
      <w:bookmarkEnd w:id="172"/>
      <w:bookmarkEnd w:id="173"/>
    </w:p>
    <w:p>
      <w:pPr>
        <w:pStyle w:val="492"/>
        <w:ind w:left="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招标内容：</w:t>
      </w:r>
    </w:p>
    <w:p>
      <w:pPr>
        <w:pStyle w:val="492"/>
        <w:ind w:left="0"/>
        <w:rPr>
          <w:rFonts w:hint="eastAsia" w:asciiTheme="minorEastAsia" w:hAnsiTheme="minorEastAsia" w:eastAsiaTheme="minorEastAsia"/>
          <w:lang w:eastAsia="zh-CN"/>
        </w:rPr>
      </w:pPr>
      <w:r>
        <w:rPr>
          <w:rFonts w:hint="eastAsia" w:asciiTheme="minorEastAsia" w:hAnsiTheme="minorEastAsia" w:eastAsiaTheme="minorEastAsia" w:cstheme="minorEastAsia"/>
          <w:lang w:eastAsia="zh-CN"/>
        </w:rPr>
        <w:t>1</w:t>
      </w:r>
      <w:r>
        <w:rPr>
          <w:rFonts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t>项目内容：</w:t>
      </w:r>
      <w:r>
        <w:rPr>
          <w:rFonts w:hint="eastAsia" w:asciiTheme="minorEastAsia" w:hAnsiTheme="minorEastAsia" w:eastAsiaTheme="minorEastAsia"/>
          <w:lang w:eastAsia="zh-CN"/>
        </w:rPr>
        <w:t>2023中国（厦门）国际跨境电商展览会（</w:t>
      </w:r>
      <w:r>
        <w:rPr>
          <w:rFonts w:hint="eastAsia" w:asciiTheme="minorEastAsia" w:hAnsiTheme="minorEastAsia" w:eastAsiaTheme="minorEastAsia"/>
          <w:lang w:val="en-US" w:eastAsia="zh-CN"/>
        </w:rPr>
        <w:t>以下简称“2023中跨展”</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综合</w:t>
      </w:r>
      <w:r>
        <w:rPr>
          <w:rFonts w:hint="eastAsia" w:asciiTheme="minorEastAsia" w:hAnsiTheme="minorEastAsia" w:eastAsiaTheme="minorEastAsia"/>
          <w:lang w:eastAsia="zh-CN"/>
        </w:rPr>
        <w:t>运营服务</w:t>
      </w:r>
    </w:p>
    <w:p>
      <w:pPr>
        <w:pStyle w:val="492"/>
        <w:ind w:left="0" w:leftChars="0" w:firstLine="0" w:firstLineChars="0"/>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lang w:eastAsia="zh-CN"/>
        </w:rPr>
        <w:t>2</w:t>
      </w:r>
      <w:r>
        <w:rPr>
          <w:rFonts w:hint="eastAsia" w:asciiTheme="minorEastAsia" w:hAnsiTheme="minorEastAsia" w:eastAsiaTheme="minorEastAsia" w:cstheme="minorEastAsia"/>
          <w:lang w:eastAsia="zh-CN"/>
        </w:rPr>
        <w:t>.举办地场馆名称：</w:t>
      </w:r>
      <w:r>
        <w:rPr>
          <w:rFonts w:hint="eastAsia" w:asciiTheme="minorEastAsia" w:hAnsiTheme="minorEastAsia" w:eastAsiaTheme="minorEastAsia" w:cstheme="minorEastAsia"/>
          <w:lang w:val="en-US" w:eastAsia="zh-CN"/>
        </w:rPr>
        <w:t>厦门国际会议展览中心A1-A6厅。</w:t>
      </w:r>
    </w:p>
    <w:p>
      <w:pPr>
        <w:pStyle w:val="492"/>
        <w:ind w:left="0"/>
        <w:rPr>
          <w:rFonts w:hint="default" w:asciiTheme="minorEastAsia" w:hAnsiTheme="minorEastAsia" w:eastAsiaTheme="minorEastAsia"/>
          <w:lang w:val="en-US" w:eastAsia="zh-CN"/>
        </w:rPr>
      </w:pPr>
      <w:r>
        <w:rPr>
          <w:rFonts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.举办时间：</w:t>
      </w:r>
      <w:r>
        <w:rPr>
          <w:rFonts w:hint="eastAsia" w:asciiTheme="minorEastAsia" w:hAnsiTheme="minorEastAsia" w:eastAsiaTheme="minorEastAsia" w:cstheme="minorEastAsia"/>
          <w:lang w:val="en-US" w:eastAsia="zh-CN"/>
        </w:rPr>
        <w:t>2023年6月15-17日</w:t>
      </w:r>
    </w:p>
    <w:p>
      <w:pPr>
        <w:pStyle w:val="114"/>
        <w:bidi w:val="0"/>
        <w:ind w:left="360" w:leftChars="0" w:hanging="360" w:firstLineChars="0"/>
        <w:rPr>
          <w:rFonts w:hint="eastAsia"/>
          <w:lang w:eastAsia="zh-CN"/>
        </w:rPr>
      </w:pPr>
      <w:r>
        <w:rPr>
          <w:rFonts w:hint="eastAsia"/>
          <w:lang w:eastAsia="zh-CN"/>
        </w:rPr>
        <w:t>技术要求：</w:t>
      </w:r>
    </w:p>
    <w:p>
      <w:pPr>
        <w:pStyle w:val="114"/>
        <w:numPr>
          <w:ilvl w:val="0"/>
          <w:numId w:val="0"/>
        </w:numPr>
        <w:bidi w:val="0"/>
        <w:ind w:leftChars="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主场服务部分</w:t>
      </w:r>
    </w:p>
    <w:p>
      <w:pPr>
        <w:rPr>
          <w:rFonts w:cs="Arial" w:asciiTheme="minorEastAsia" w:hAnsiTheme="minorEastAsia" w:eastAsiaTheme="minorEastAsia"/>
          <w:b/>
          <w:bCs/>
          <w:color w:val="000000"/>
          <w:lang w:eastAsia="zh-CN"/>
        </w:rPr>
      </w:pPr>
      <w:r>
        <w:rPr>
          <w:rFonts w:hint="eastAsia" w:asciiTheme="minorEastAsia" w:hAnsiTheme="minorEastAsia" w:eastAsiaTheme="minorEastAsia" w:cstheme="minorEastAsia"/>
          <w:b w:val="0"/>
          <w:bCs w:val="0"/>
          <w:lang w:val="en-US" w:eastAsia="zh-CN"/>
        </w:rPr>
        <w:t>1.</w:t>
      </w:r>
      <w:r>
        <w:rPr>
          <w:rFonts w:cs="Arial" w:asciiTheme="minorEastAsia" w:hAnsiTheme="minorEastAsia" w:eastAsiaTheme="minorEastAsia"/>
          <w:b w:val="0"/>
          <w:bCs w:val="0"/>
          <w:color w:val="000000"/>
          <w:lang w:eastAsia="zh-CN"/>
        </w:rPr>
        <w:t xml:space="preserve"> </w:t>
      </w:r>
      <w:r>
        <w:rPr>
          <w:rFonts w:hint="eastAsia" w:cs="Arial" w:asciiTheme="minorEastAsia" w:hAnsiTheme="minorEastAsia" w:eastAsiaTheme="minorEastAsia"/>
          <w:b w:val="0"/>
          <w:bCs w:val="0"/>
          <w:color w:val="000000"/>
          <w:lang w:eastAsia="zh-CN"/>
        </w:rPr>
        <w:t>展会前期服务内容</w:t>
      </w:r>
    </w:p>
    <w:p>
      <w:pPr>
        <w:rPr>
          <w:rFonts w:hint="eastAsia" w:cs="Arial" w:asciiTheme="minorEastAsia" w:hAnsiTheme="minorEastAsia" w:eastAsiaTheme="minorEastAsia"/>
          <w:color w:val="000000"/>
          <w:lang w:val="en-US" w:eastAsia="zh-CN"/>
        </w:rPr>
      </w:pPr>
      <w:r>
        <w:rPr>
          <w:rFonts w:hint="eastAsia" w:cs="Arial" w:asciiTheme="minorEastAsia" w:hAnsiTheme="minorEastAsia" w:eastAsiaTheme="minorEastAsia"/>
          <w:color w:val="000000"/>
          <w:lang w:eastAsia="zh-CN"/>
        </w:rPr>
        <w:t>1.1协助招标方对展会场地进行考察和总体规划，</w:t>
      </w:r>
      <w:r>
        <w:rPr>
          <w:rFonts w:hint="eastAsia" w:cs="Arial" w:asciiTheme="minorEastAsia" w:hAnsiTheme="minorEastAsia" w:eastAsiaTheme="minorEastAsia"/>
          <w:color w:val="000000"/>
          <w:lang w:val="en-US" w:eastAsia="zh-CN"/>
        </w:rPr>
        <w:t>并按要求完成展区平面图的规划。</w:t>
      </w:r>
    </w:p>
    <w:p>
      <w:pPr>
        <w:rPr>
          <w:rFonts w:asciiTheme="minorEastAsia" w:hAnsiTheme="minorEastAsia" w:eastAsiaTheme="minorEastAsia" w:cstheme="minorEastAsia"/>
          <w:lang w:eastAsia="zh-CN"/>
        </w:rPr>
      </w:pPr>
      <w:r>
        <w:rPr>
          <w:rFonts w:hint="eastAsia" w:cs="Arial" w:asciiTheme="minorEastAsia" w:hAnsiTheme="minorEastAsia" w:eastAsiaTheme="minorEastAsia"/>
          <w:color w:val="000000"/>
          <w:lang w:eastAsia="zh-CN"/>
        </w:rPr>
        <w:t xml:space="preserve">1.2 </w:t>
      </w:r>
      <w:r>
        <w:rPr>
          <w:rFonts w:hint="eastAsia" w:cs="Arial" w:asciiTheme="minorEastAsia" w:hAnsiTheme="minorEastAsia" w:eastAsiaTheme="minorEastAsia"/>
          <w:color w:val="000000"/>
          <w:lang w:val="en-US" w:eastAsia="zh-CN"/>
        </w:rPr>
        <w:t>负责</w:t>
      </w:r>
      <w:r>
        <w:rPr>
          <w:rFonts w:hint="eastAsia" w:cs="Arial" w:asciiTheme="minorEastAsia" w:hAnsiTheme="minorEastAsia" w:eastAsiaTheme="minorEastAsia"/>
          <w:color w:val="000000"/>
          <w:lang w:eastAsia="zh-CN"/>
        </w:rPr>
        <w:t>完成布撤展期间现场施工管理流程的建立与完善。</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.3</w:t>
      </w:r>
      <w:r>
        <w:rPr>
          <w:rFonts w:hint="eastAsia" w:asciiTheme="minorEastAsia" w:hAnsiTheme="minorEastAsia" w:eastAsiaTheme="minorEastAsia" w:cstheme="minorEastAsia"/>
          <w:lang w:eastAsia="zh-CN"/>
        </w:rPr>
        <w:t xml:space="preserve"> </w:t>
      </w:r>
      <w:r>
        <w:rPr>
          <w:rFonts w:hint="eastAsia" w:asciiTheme="minorEastAsia" w:hAnsiTheme="minorEastAsia" w:eastAsiaTheme="minorEastAsia" w:cstheme="minorEastAsia"/>
          <w:lang w:val="en-US" w:eastAsia="zh-CN"/>
        </w:rPr>
        <w:t>负责</w:t>
      </w:r>
      <w:r>
        <w:rPr>
          <w:rFonts w:hint="eastAsia" w:asciiTheme="minorEastAsia" w:hAnsiTheme="minorEastAsia" w:eastAsiaTheme="minorEastAsia" w:cstheme="minorEastAsia"/>
          <w:lang w:eastAsia="zh-CN"/>
        </w:rPr>
        <w:t>完成公安、消防、安监等报批工作。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.4</w:t>
      </w:r>
      <w:r>
        <w:rPr>
          <w:rFonts w:hint="eastAsia" w:asciiTheme="minorEastAsia" w:hAnsiTheme="minorEastAsia" w:eastAsiaTheme="minorEastAsia" w:cstheme="minorEastAsia"/>
          <w:lang w:eastAsia="zh-CN"/>
        </w:rPr>
        <w:t xml:space="preserve"> 负责参展商手册、展会功能氛围</w:t>
      </w:r>
      <w:r>
        <w:rPr>
          <w:rFonts w:hint="eastAsia" w:asciiTheme="minorEastAsia" w:hAnsiTheme="minorEastAsia" w:eastAsiaTheme="minorEastAsia" w:cstheme="minorEastAsia"/>
          <w:lang w:val="en-US" w:eastAsia="zh-CN"/>
        </w:rPr>
        <w:t>点位图</w:t>
      </w:r>
      <w:r>
        <w:rPr>
          <w:rFonts w:hint="eastAsia" w:asciiTheme="minorEastAsia" w:hAnsiTheme="minorEastAsia" w:eastAsiaTheme="minorEastAsia" w:cstheme="minorEastAsia"/>
          <w:lang w:eastAsia="zh-CN"/>
        </w:rPr>
        <w:t>、展区相关示意图、布撤展物流示意图、开展期间车辆行驶路线示意图、</w:t>
      </w:r>
      <w:r>
        <w:rPr>
          <w:rFonts w:hint="eastAsia" w:asciiTheme="minorEastAsia" w:hAnsiTheme="minorEastAsia" w:eastAsiaTheme="minorEastAsia" w:cstheme="minorEastAsia"/>
          <w:lang w:val="en-US" w:eastAsia="zh-CN"/>
        </w:rPr>
        <w:t>相关证件</w:t>
      </w:r>
      <w:r>
        <w:rPr>
          <w:rFonts w:hint="eastAsia" w:asciiTheme="minorEastAsia" w:hAnsiTheme="minorEastAsia" w:eastAsiaTheme="minorEastAsia" w:cstheme="minorEastAsia"/>
          <w:lang w:eastAsia="zh-CN"/>
        </w:rPr>
        <w:t>的规划和设计。</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.5</w:t>
      </w:r>
      <w:r>
        <w:rPr>
          <w:rFonts w:hint="eastAsia" w:asciiTheme="minorEastAsia" w:hAnsiTheme="minorEastAsia" w:eastAsiaTheme="minorEastAsia" w:cstheme="minorEastAsia"/>
          <w:lang w:eastAsia="zh-CN"/>
        </w:rPr>
        <w:t xml:space="preserve"> 全面负责</w:t>
      </w:r>
      <w:r>
        <w:rPr>
          <w:rFonts w:hint="eastAsia" w:asciiTheme="minorEastAsia" w:hAnsiTheme="minorEastAsia" w:eastAsiaTheme="minorEastAsia" w:cstheme="minorEastAsia"/>
          <w:lang w:val="en-US" w:eastAsia="zh-CN"/>
        </w:rPr>
        <w:t>2023中跨展</w:t>
      </w:r>
      <w:r>
        <w:rPr>
          <w:rFonts w:hint="eastAsia" w:asciiTheme="minorEastAsia" w:hAnsiTheme="minorEastAsia" w:eastAsiaTheme="minorEastAsia" w:cstheme="minorEastAsia"/>
          <w:lang w:eastAsia="zh-CN"/>
        </w:rPr>
        <w:t>特装展台报馆、资质审查、结构安全和施工图纸、技术数据审核，负责搭建商报到注册、展区净地及各类标准展位的管理与服务，展区用电、展具租赁服务，并主动与参展企业联系，收集</w:t>
      </w:r>
      <w:r>
        <w:rPr>
          <w:rFonts w:hint="eastAsia" w:asciiTheme="minorEastAsia" w:hAnsiTheme="minorEastAsia" w:eastAsiaTheme="minorEastAsia" w:cstheme="minorEastAsia"/>
          <w:lang w:val="en-US" w:eastAsia="zh-CN"/>
        </w:rPr>
        <w:t>标准展位楣牌信息</w:t>
      </w:r>
      <w:r>
        <w:rPr>
          <w:rFonts w:hint="eastAsia" w:asciiTheme="minorEastAsia" w:hAnsiTheme="minorEastAsia" w:eastAsiaTheme="minorEastAsia" w:cstheme="minorEastAsia"/>
          <w:lang w:eastAsia="zh-CN"/>
        </w:rPr>
        <w:t>并</w:t>
      </w:r>
      <w:r>
        <w:rPr>
          <w:rFonts w:hint="eastAsia" w:asciiTheme="minorEastAsia" w:hAnsiTheme="minorEastAsia" w:eastAsiaTheme="minorEastAsia" w:cstheme="minorEastAsia"/>
          <w:lang w:val="en-US" w:eastAsia="zh-CN"/>
        </w:rPr>
        <w:t>核对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负责审核特装展位</w:t>
      </w:r>
      <w:r>
        <w:rPr>
          <w:rFonts w:hint="eastAsia" w:asciiTheme="minorEastAsia" w:hAnsiTheme="minorEastAsia" w:eastAsiaTheme="minorEastAsia" w:cstheme="minorEastAsia"/>
          <w:lang w:eastAsia="zh-CN"/>
        </w:rPr>
        <w:t>的展位设计方案。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.6</w:t>
      </w:r>
      <w:r>
        <w:rPr>
          <w:rFonts w:hint="eastAsia" w:asciiTheme="minorEastAsia" w:hAnsiTheme="minorEastAsia" w:eastAsiaTheme="minorEastAsia" w:cstheme="minorEastAsia"/>
          <w:lang w:eastAsia="zh-CN"/>
        </w:rPr>
        <w:t>根据展馆提供的CAD图进行实地测量，复核CAD图纸的准确性（包含地沟、水点、电箱、消防等相关点位）。在展区规划完成后，复核并确认展位搭建是否可实施。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1.7 </w:t>
      </w:r>
      <w:r>
        <w:rPr>
          <w:rFonts w:hint="eastAsia" w:asciiTheme="minorEastAsia" w:hAnsiTheme="minorEastAsia" w:eastAsiaTheme="minorEastAsia" w:cstheme="minorEastAsia"/>
          <w:lang w:val="en-US" w:eastAsia="zh-CN"/>
        </w:rPr>
        <w:t>协助审核</w:t>
      </w:r>
      <w:r>
        <w:rPr>
          <w:rFonts w:hint="eastAsia" w:asciiTheme="minorEastAsia" w:hAnsiTheme="minorEastAsia" w:eastAsiaTheme="minorEastAsia" w:cstheme="minorEastAsia"/>
          <w:lang w:eastAsia="zh-CN"/>
        </w:rPr>
        <w:t>广告及氛围总体方案，确认广告氛围点位搭建</w:t>
      </w:r>
      <w:r>
        <w:rPr>
          <w:rFonts w:hint="eastAsia" w:asciiTheme="minorEastAsia" w:hAnsiTheme="minorEastAsia" w:eastAsiaTheme="minorEastAsia" w:cstheme="minorEastAsia"/>
          <w:lang w:val="en-US" w:eastAsia="zh-CN"/>
        </w:rPr>
        <w:t>可行性</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1.8 根据主办需求进行特殊功能</w:t>
      </w:r>
      <w:r>
        <w:rPr>
          <w:rFonts w:hint="eastAsia" w:asciiTheme="minorEastAsia" w:hAnsiTheme="minorEastAsia" w:eastAsiaTheme="minorEastAsia" w:cstheme="minorEastAsia"/>
          <w:lang w:val="en-US" w:eastAsia="zh-CN"/>
        </w:rPr>
        <w:t>特装</w:t>
      </w:r>
      <w:r>
        <w:rPr>
          <w:rFonts w:hint="eastAsia" w:asciiTheme="minorEastAsia" w:hAnsiTheme="minorEastAsia" w:eastAsiaTheme="minorEastAsia" w:cstheme="minorEastAsia"/>
          <w:lang w:eastAsia="zh-CN"/>
        </w:rPr>
        <w:t>展位设计、</w:t>
      </w:r>
      <w:r>
        <w:rPr>
          <w:rFonts w:hint="eastAsia" w:asciiTheme="minorEastAsia" w:hAnsiTheme="minorEastAsia" w:eastAsiaTheme="minorEastAsia" w:cstheme="minorEastAsia"/>
          <w:lang w:val="en-US" w:eastAsia="zh-CN"/>
        </w:rPr>
        <w:t>搭建</w:t>
      </w:r>
      <w:r>
        <w:rPr>
          <w:rFonts w:hint="eastAsia" w:asciiTheme="minorEastAsia" w:hAnsiTheme="minorEastAsia" w:eastAsiaTheme="minorEastAsia" w:cstheme="minorEastAsia"/>
          <w:lang w:eastAsia="zh-CN"/>
        </w:rPr>
        <w:t>。</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1.9 协助主办单位合理规划设计展会临建设施，对参与展会临建设施搭建单位的资质进行严格审查，严格监督各搭建单位在搭建过程中按国家相关安全管理规定执行，严格核查设计图、结构图和相关技术数据，审核过程中应严格按照《展台等临建设施搭建安全标准》、《钢结构设计规范》等国家和行业制定的各项技术指标执行。</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.10</w:t>
      </w:r>
      <w:r>
        <w:rPr>
          <w:rFonts w:hint="eastAsia" w:asciiTheme="minorEastAsia" w:hAnsiTheme="minorEastAsia" w:eastAsiaTheme="minorEastAsia" w:cstheme="minorEastAsia"/>
          <w:lang w:eastAsia="zh-CN"/>
        </w:rPr>
        <w:t>负责与展馆协调有关展位搭建事宜。审核并确认标准展位与升级标准展位设计方案的合理性与安全性。</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.11</w:t>
      </w:r>
      <w:r>
        <w:rPr>
          <w:rFonts w:hint="eastAsia" w:asciiTheme="minorEastAsia" w:hAnsiTheme="minorEastAsia" w:eastAsiaTheme="minorEastAsia" w:cstheme="minorEastAsia"/>
          <w:lang w:eastAsia="zh-CN"/>
        </w:rPr>
        <w:t>负责根据招标方要求进行展区地毯铺设规划。</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.12</w:t>
      </w:r>
      <w:r>
        <w:rPr>
          <w:rFonts w:hint="eastAsia" w:cs="Arial" w:asciiTheme="minorEastAsia" w:hAnsiTheme="minorEastAsia" w:eastAsiaTheme="minorEastAsia"/>
          <w:color w:val="000000" w:themeColor="text1"/>
          <w:lang w:eastAsia="zh-CN"/>
          <w14:textFill>
            <w14:solidFill>
              <w14:schemeClr w14:val="tx1"/>
            </w14:solidFill>
          </w14:textFill>
        </w:rPr>
        <w:t>协同主办与展馆方协调展位划线时间、标展基础搭建时间、</w:t>
      </w:r>
      <w:r>
        <w:rPr>
          <w:rFonts w:hint="eastAsia" w:cs="Arial" w:asciiTheme="minorEastAsia" w:hAnsiTheme="minorEastAsia" w:eastAsiaTheme="minorEastAsia"/>
          <w:color w:val="000000" w:themeColor="text1"/>
          <w:lang w:val="en-US" w:eastAsia="zh-CN"/>
          <w14:textFill>
            <w14:solidFill>
              <w14:schemeClr w14:val="tx1"/>
            </w14:solidFill>
          </w14:textFill>
        </w:rPr>
        <w:t>加高标准展位</w:t>
      </w:r>
      <w:r>
        <w:rPr>
          <w:rFonts w:hint="eastAsia" w:cs="Arial" w:asciiTheme="minorEastAsia" w:hAnsiTheme="minorEastAsia" w:eastAsiaTheme="minorEastAsia"/>
          <w:color w:val="000000" w:themeColor="text1"/>
          <w:lang w:eastAsia="zh-CN"/>
          <w14:textFill>
            <w14:solidFill>
              <w14:schemeClr w14:val="tx1"/>
            </w14:solidFill>
          </w14:textFill>
        </w:rPr>
        <w:t>搭建时间、氛围及指示系统搭建时间等事项。</w:t>
      </w:r>
    </w:p>
    <w:p>
      <w:pPr>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.13</w:t>
      </w:r>
      <w:r>
        <w:rPr>
          <w:rFonts w:hint="eastAsia" w:asciiTheme="minorEastAsia" w:hAnsiTheme="minorEastAsia" w:eastAsiaTheme="minorEastAsia" w:cstheme="minorEastAsia"/>
          <w:lang w:eastAsia="zh-CN"/>
        </w:rPr>
        <w:t xml:space="preserve"> 根据</w:t>
      </w:r>
      <w:r>
        <w:rPr>
          <w:rFonts w:hint="eastAsia" w:asciiTheme="minorEastAsia" w:hAnsiTheme="minorEastAsia" w:eastAsiaTheme="minorEastAsia" w:cstheme="minorEastAsia"/>
          <w:lang w:val="en-US" w:eastAsia="zh-CN"/>
        </w:rPr>
        <w:t>2023中跨展</w:t>
      </w:r>
      <w:r>
        <w:rPr>
          <w:rFonts w:hint="eastAsia" w:asciiTheme="minorEastAsia" w:hAnsiTheme="minorEastAsia" w:eastAsiaTheme="minorEastAsia" w:cstheme="minorEastAsia"/>
          <w:lang w:eastAsia="zh-CN"/>
        </w:rPr>
        <w:t>需求建立用于特装申报、展具租赁等事项的互联网服务平台并</w:t>
      </w:r>
      <w:r>
        <w:rPr>
          <w:rFonts w:hint="eastAsia" w:asciiTheme="minorEastAsia" w:hAnsiTheme="minorEastAsia" w:eastAsiaTheme="minorEastAsia" w:cstheme="minorEastAsia"/>
          <w:lang w:val="en-US" w:eastAsia="zh-CN"/>
        </w:rPr>
        <w:t>安排专人</w:t>
      </w:r>
      <w:r>
        <w:rPr>
          <w:rFonts w:hint="eastAsia" w:asciiTheme="minorEastAsia" w:hAnsiTheme="minorEastAsia" w:eastAsiaTheme="minorEastAsia" w:cstheme="minorEastAsia"/>
          <w:lang w:eastAsia="zh-CN"/>
        </w:rPr>
        <w:t>进行日常管理维护。</w:t>
      </w:r>
    </w:p>
    <w:p>
      <w:pPr>
        <w:rPr>
          <w:rFonts w:hint="eastAsia" w:asciiTheme="minorEastAsia" w:hAnsiTheme="minorEastAsia" w:eastAsiaTheme="minorEastAsia" w:cstheme="minorEastAsia"/>
          <w:lang w:eastAsia="zh-CN"/>
        </w:rPr>
      </w:pPr>
      <w:r>
        <w:rPr>
          <w:rFonts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.14</w:t>
      </w:r>
      <w:r>
        <w:rPr>
          <w:rFonts w:hint="eastAsia" w:asciiTheme="minorEastAsia" w:hAnsiTheme="minorEastAsia" w:eastAsiaTheme="minorEastAsia" w:cstheme="minorEastAsia"/>
          <w:lang w:eastAsia="zh-CN"/>
        </w:rPr>
        <w:t xml:space="preserve"> 针对布展期、开展期、撤展期制定相关应急预案。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cs="Arial" w:asciiTheme="minorEastAsia" w:hAnsiTheme="minorEastAsia" w:eastAsiaTheme="minorEastAsia"/>
          <w:color w:val="000000"/>
          <w:lang w:eastAsia="zh-CN"/>
        </w:rPr>
        <w:t>.1</w:t>
      </w:r>
      <w:r>
        <w:rPr>
          <w:rFonts w:hint="eastAsia" w:cs="Arial" w:asciiTheme="minorEastAsia" w:hAnsiTheme="minorEastAsia" w:eastAsiaTheme="minorEastAsia"/>
          <w:color w:val="000000"/>
          <w:lang w:val="en-US" w:eastAsia="zh-CN"/>
        </w:rPr>
        <w:t>5</w:t>
      </w:r>
      <w:r>
        <w:rPr>
          <w:rFonts w:hint="eastAsia" w:cs="Arial" w:asciiTheme="minorEastAsia" w:hAnsiTheme="minorEastAsia" w:eastAsiaTheme="minorEastAsia"/>
          <w:color w:val="000000"/>
          <w:lang w:eastAsia="zh-CN"/>
        </w:rPr>
        <w:t xml:space="preserve"> </w:t>
      </w:r>
      <w:r>
        <w:rPr>
          <w:rFonts w:hint="eastAsia" w:asciiTheme="minorEastAsia" w:hAnsiTheme="minorEastAsia" w:eastAsiaTheme="minorEastAsia" w:cstheme="minorEastAsia"/>
          <w:lang w:eastAsia="zh-CN"/>
        </w:rPr>
        <w:t>完成招标方交办的其他与</w:t>
      </w:r>
      <w:r>
        <w:rPr>
          <w:rFonts w:hint="eastAsia" w:asciiTheme="minorEastAsia" w:hAnsiTheme="minorEastAsia" w:eastAsiaTheme="minorEastAsia" w:cstheme="minorEastAsia"/>
          <w:lang w:val="en-US" w:eastAsia="zh-CN"/>
        </w:rPr>
        <w:t>展会运营</w:t>
      </w:r>
      <w:r>
        <w:rPr>
          <w:rFonts w:hint="eastAsia" w:asciiTheme="minorEastAsia" w:hAnsiTheme="minorEastAsia" w:eastAsiaTheme="minorEastAsia" w:cstheme="minorEastAsia"/>
          <w:lang w:eastAsia="zh-CN"/>
        </w:rPr>
        <w:t>服务相关的工作事项。</w:t>
      </w:r>
    </w:p>
    <w:p>
      <w:pP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highlight w:val="none"/>
          <w:lang w:val="en-US" w:eastAsia="zh-CN"/>
        </w:rPr>
        <w:t>16 制定2023中跨展的推荐搭建商管理及评选办法，并进行推荐搭建商的考察工作。针对特装展位搭建商制定管理办法以及施工安全管理细则。预计设置6-8家推荐搭建商，完成考察前的筹备及资料收集工作：包括但不限于注册资金；单一年度特装展位数量及全年金额；工厂占地面积及办公面积；工厂人员人数；工厂流程化管理是否健全；每年安全管理培训及证书；公司及员工的商业保险等。</w:t>
      </w:r>
    </w:p>
    <w:p>
      <w:pPr>
        <w:pStyle w:val="2"/>
        <w:rPr>
          <w:rFonts w:hint="default" w:asciiTheme="minorEastAsia" w:hAnsiTheme="minorEastAsia" w:eastAsiaTheme="minorEastAsia" w:cstheme="minorEastAsia"/>
          <w:kern w:val="0"/>
          <w:sz w:val="22"/>
          <w:szCs w:val="22"/>
          <w:highlight w:val="none"/>
          <w:lang w:val="en-US" w:eastAsia="zh-CN" w:bidi="en-US"/>
        </w:rPr>
      </w:pPr>
      <w:r>
        <w:rPr>
          <w:rFonts w:hint="eastAsia" w:asciiTheme="minorEastAsia" w:hAnsiTheme="minorEastAsia" w:eastAsiaTheme="minorEastAsia" w:cstheme="minorEastAsia"/>
          <w:kern w:val="0"/>
          <w:sz w:val="22"/>
          <w:szCs w:val="22"/>
          <w:highlight w:val="none"/>
          <w:lang w:val="en-US" w:eastAsia="zh-CN" w:bidi="en-US"/>
        </w:rPr>
        <w:t>1.17 至少于2023中跨展搭建开始前15个工作日安排项目人员进驻组委会办公。</w:t>
      </w:r>
    </w:p>
    <w:p>
      <w:pPr>
        <w:rPr>
          <w:rFonts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w:t>
      </w:r>
      <w:r>
        <w:rPr>
          <w:rFonts w:asciiTheme="minorEastAsia" w:hAnsiTheme="minorEastAsia" w:eastAsiaTheme="minorEastAsia" w:cstheme="minorEastAsia"/>
          <w:b w:val="0"/>
          <w:bCs w:val="0"/>
          <w:lang w:eastAsia="zh-CN"/>
        </w:rPr>
        <w:t xml:space="preserve">. </w:t>
      </w:r>
      <w:r>
        <w:rPr>
          <w:rFonts w:hint="eastAsia" w:asciiTheme="minorEastAsia" w:hAnsiTheme="minorEastAsia" w:eastAsiaTheme="minorEastAsia" w:cstheme="minorEastAsia"/>
          <w:b w:val="0"/>
          <w:bCs w:val="0"/>
          <w:lang w:eastAsia="zh-CN"/>
        </w:rPr>
        <w:t>展会现场服务内容：</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.1 需配合展馆方或第三方服务商进行室内、外展场的划线工作。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.2 详细提供现场服务人员工作安排表，包括岗位、职责﹑主要负责人的联络方式等，确保展会期间及时有效地完成主办单位的现场工作要求。</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r>
        <w:rPr>
          <w:rFonts w:asciiTheme="minorEastAsia" w:hAnsiTheme="minorEastAsia" w:eastAsiaTheme="minorEastAsia" w:cstheme="minorEastAsia"/>
          <w:lang w:eastAsia="zh-CN"/>
        </w:rPr>
        <w:t>3</w:t>
      </w:r>
      <w:r>
        <w:rPr>
          <w:rFonts w:hint="eastAsia" w:asciiTheme="minorEastAsia" w:hAnsiTheme="minorEastAsia" w:eastAsiaTheme="minorEastAsia" w:cstheme="minorEastAsia"/>
          <w:lang w:eastAsia="zh-CN"/>
        </w:rPr>
        <w:t xml:space="preserve"> 派专职人员负责施工现场的消防安全管理监督工作；根据施工场地和作业性质要求各展位搭建商按规定数量配备灭火器材，采取足够的安全防护措施并由专业人员进行施工作业，确保展位结构稳定、安全、牢固并符合消防安全各项规定。在关键工作岗位（如电工、水工等）应设置具有认证资质的专业人员，确保全场全程施工搭建和展示安全。</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.4 对标准展位及升级展位搭建的管理、验收。馆长负责核对标准展位楣板及</w:t>
      </w:r>
      <w:r>
        <w:rPr>
          <w:rFonts w:hint="eastAsia" w:asciiTheme="minorEastAsia" w:hAnsiTheme="minorEastAsia" w:eastAsiaTheme="minorEastAsia" w:cstheme="minorEastAsia"/>
          <w:lang w:val="en-US" w:eastAsia="zh-CN"/>
        </w:rPr>
        <w:t>展</w:t>
      </w:r>
      <w:r>
        <w:rPr>
          <w:rFonts w:hint="eastAsia" w:asciiTheme="minorEastAsia" w:hAnsiTheme="minorEastAsia" w:eastAsiaTheme="minorEastAsia" w:cstheme="minorEastAsia"/>
          <w:lang w:eastAsia="zh-CN"/>
        </w:rPr>
        <w:t>具配置情况；在规定的时间内监督管理将</w:t>
      </w:r>
      <w:r>
        <w:rPr>
          <w:rFonts w:hint="eastAsia" w:asciiTheme="minorEastAsia" w:hAnsiTheme="minorEastAsia" w:eastAsiaTheme="minorEastAsia" w:cstheme="minorEastAsia"/>
          <w:lang w:val="en-US" w:eastAsia="zh-CN"/>
        </w:rPr>
        <w:t>展</w:t>
      </w:r>
      <w:r>
        <w:rPr>
          <w:rFonts w:hint="eastAsia" w:asciiTheme="minorEastAsia" w:hAnsiTheme="minorEastAsia" w:eastAsiaTheme="minorEastAsia" w:cstheme="minorEastAsia"/>
          <w:lang w:eastAsia="zh-CN"/>
        </w:rPr>
        <w:t>具派发完毕，并派专人监督管理，防止丢失和随意变更位置；为主办单位调整部分标准展位电箱位置，并制止标准展位私自改建；</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.5 协调、管理通道地毯铺设工作。</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.6 场内搭建和布置及</w:t>
      </w:r>
      <w:r>
        <w:rPr>
          <w:rFonts w:hint="eastAsia" w:asciiTheme="minorEastAsia" w:hAnsiTheme="minorEastAsia" w:eastAsiaTheme="minorEastAsia" w:cstheme="minorEastAsia"/>
          <w:lang w:val="en-US" w:eastAsia="zh-CN"/>
        </w:rPr>
        <w:t>导视系统</w:t>
      </w:r>
      <w:r>
        <w:rPr>
          <w:rFonts w:hint="eastAsia" w:asciiTheme="minorEastAsia" w:hAnsiTheme="minorEastAsia" w:eastAsiaTheme="minorEastAsia" w:cstheme="minorEastAsia"/>
          <w:lang w:eastAsia="zh-CN"/>
        </w:rPr>
        <w:t>等须在主办单位要求的时间内完成；布展及开展期间，中标方须配备技术人员在现场机动待命随时响应主办单位的现场要求。</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.7 在布撤展期间内，负责参展商及</w:t>
      </w:r>
      <w:r>
        <w:rPr>
          <w:rFonts w:hint="eastAsia" w:cs="Arial" w:asciiTheme="minorEastAsia" w:hAnsiTheme="minorEastAsia" w:eastAsiaTheme="minorEastAsia"/>
          <w:lang w:eastAsia="zh-CN"/>
        </w:rPr>
        <w:t>搭建商现场管理，</w:t>
      </w:r>
      <w:r>
        <w:rPr>
          <w:rFonts w:hint="eastAsia" w:asciiTheme="minorEastAsia" w:hAnsiTheme="minorEastAsia" w:eastAsiaTheme="minorEastAsia" w:cstheme="minorEastAsia"/>
          <w:lang w:eastAsia="zh-CN"/>
        </w:rPr>
        <w:t>维护布撤展秩序，保障现场人员安全，制止违规操作及一切损害场馆设备设施的行为。</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.8 中标方在布展及撤展期间负责监督管理包含但不限于特装展台施工、标准展位基础搭建、标准展位改建、展会功能性氛围和指示系统搭建、篷房搭建、户外广告制作、发布等项目的搭建、拆除工作，确保施工安全；因监督管理不当导致的人身和财产损失由中标方承担管理责任。</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.9 中标方在开展期间负责对3.8所述项目存在的安全隐患进行检查并做好相关记录，发现安全问题及时向主办方汇报并督促问题方整改。对因监督检查不当所导致的人身和财产损失由中标方承担管理责任。</w:t>
      </w:r>
    </w:p>
    <w:p>
      <w:pP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0负责展会现场配合相关部门进行安全检查</w:t>
      </w:r>
      <w:r>
        <w:rPr>
          <w:rFonts w:hint="eastAsia" w:asciiTheme="minorEastAsia" w:hAnsiTheme="minorEastAsia" w:eastAsiaTheme="minorEastAsia" w:cstheme="minorEastAsia"/>
          <w:lang w:eastAsia="zh-CN"/>
        </w:rPr>
        <w:t>等事宜。</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 xml:space="preserve"> 完成主办方交办的其他与主场服务相关的事项。</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注：该部分最高投标限</w:t>
      </w:r>
      <w:r>
        <w:rPr>
          <w:rFonts w:hint="eastAsia" w:cs="Times New Roman"/>
          <w:b/>
          <w:bCs/>
          <w:kern w:val="0"/>
          <w:sz w:val="22"/>
          <w:szCs w:val="22"/>
          <w:highlight w:val="none"/>
          <w:lang w:val="en-US" w:eastAsia="zh-CN" w:bidi="en-US"/>
        </w:rPr>
        <w:t>价5.5万元，凡投</w:t>
      </w:r>
      <w:r>
        <w:rPr>
          <w:rFonts w:hint="eastAsia" w:cs="Times New Roman"/>
          <w:b/>
          <w:bCs/>
          <w:kern w:val="0"/>
          <w:sz w:val="22"/>
          <w:szCs w:val="22"/>
          <w:lang w:val="en-US" w:eastAsia="zh-CN" w:bidi="en-US"/>
        </w:rPr>
        <w:t>标报价超出最高投标限价均作否决投标处理。</w:t>
      </w:r>
    </w:p>
    <w:p>
      <w:pPr>
        <w:rPr>
          <w:rFonts w:hint="eastAsia"/>
          <w:b/>
          <w:bCs/>
          <w:sz w:val="24"/>
          <w:szCs w:val="28"/>
          <w:lang w:eastAsia="zh-CN"/>
        </w:rPr>
      </w:pPr>
      <w:r>
        <w:rPr>
          <w:rFonts w:hint="eastAsia"/>
          <w:b/>
          <w:bCs/>
          <w:sz w:val="24"/>
          <w:szCs w:val="28"/>
          <w:lang w:eastAsia="zh-CN"/>
        </w:rPr>
        <w:br w:type="page"/>
      </w:r>
    </w:p>
    <w:p>
      <w:pPr>
        <w:pStyle w:val="2"/>
        <w:rPr>
          <w:rFonts w:hint="default"/>
          <w:sz w:val="28"/>
          <w:szCs w:val="32"/>
          <w:lang w:val="en-US" w:eastAsia="zh-CN"/>
        </w:rPr>
      </w:pPr>
      <w:r>
        <w:rPr>
          <w:rFonts w:hint="eastAsia"/>
          <w:b/>
          <w:bCs/>
          <w:sz w:val="24"/>
          <w:szCs w:val="28"/>
          <w:lang w:eastAsia="zh-CN"/>
        </w:rPr>
        <w:t>（二）</w:t>
      </w:r>
      <w:r>
        <w:rPr>
          <w:rFonts w:hint="eastAsia"/>
          <w:b/>
          <w:bCs/>
          <w:sz w:val="24"/>
          <w:szCs w:val="28"/>
          <w:lang w:val="en-US" w:eastAsia="zh-CN"/>
        </w:rPr>
        <w:t>展会氛围及功能区</w:t>
      </w:r>
      <w:r>
        <w:rPr>
          <w:rFonts w:hint="eastAsia"/>
          <w:b/>
          <w:bCs/>
          <w:sz w:val="24"/>
          <w:szCs w:val="28"/>
          <w:lang w:eastAsia="zh-CN"/>
        </w:rPr>
        <w:t>设计</w:t>
      </w:r>
      <w:r>
        <w:rPr>
          <w:rFonts w:hint="eastAsia"/>
          <w:b/>
          <w:bCs/>
          <w:sz w:val="24"/>
          <w:szCs w:val="28"/>
          <w:lang w:val="en-US" w:eastAsia="zh-CN"/>
        </w:rPr>
        <w:t>及制作</w:t>
      </w:r>
    </w:p>
    <w:p>
      <w:pPr>
        <w:pStyle w:val="2"/>
        <w:rPr>
          <w:rFonts w:hint="eastAsia"/>
          <w:sz w:val="22"/>
          <w:szCs w:val="24"/>
          <w:lang w:eastAsia="zh-CN"/>
        </w:rPr>
      </w:pPr>
      <w:r>
        <w:rPr>
          <w:rFonts w:hint="eastAsia"/>
          <w:sz w:val="22"/>
          <w:szCs w:val="24"/>
          <w:lang w:eastAsia="zh-CN"/>
        </w:rPr>
        <w:t>1.</w:t>
      </w:r>
      <w:r>
        <w:rPr>
          <w:rFonts w:hint="eastAsia"/>
          <w:sz w:val="22"/>
          <w:szCs w:val="24"/>
          <w:lang w:val="en-US" w:eastAsia="zh-CN"/>
        </w:rPr>
        <w:t>展会主形象</w:t>
      </w:r>
      <w:r>
        <w:rPr>
          <w:rFonts w:hint="eastAsia"/>
          <w:sz w:val="22"/>
          <w:szCs w:val="24"/>
          <w:lang w:eastAsia="zh-CN"/>
        </w:rPr>
        <w:t>设计</w:t>
      </w:r>
    </w:p>
    <w:p>
      <w:pPr>
        <w:pStyle w:val="2"/>
        <w:rPr>
          <w:rFonts w:hint="eastAsia"/>
          <w:sz w:val="22"/>
          <w:szCs w:val="24"/>
          <w:lang w:eastAsia="zh-CN"/>
        </w:rPr>
      </w:pPr>
      <w:r>
        <w:rPr>
          <w:rFonts w:hint="eastAsia"/>
          <w:sz w:val="22"/>
          <w:szCs w:val="24"/>
          <w:lang w:eastAsia="zh-CN"/>
        </w:rPr>
        <w:t>1.1设计</w:t>
      </w:r>
      <w:r>
        <w:rPr>
          <w:rFonts w:hint="eastAsia"/>
          <w:sz w:val="22"/>
          <w:szCs w:val="24"/>
          <w:lang w:val="en-US" w:eastAsia="zh-CN"/>
        </w:rPr>
        <w:t>2023中跨展</w:t>
      </w:r>
      <w:r>
        <w:rPr>
          <w:rFonts w:hint="eastAsia"/>
          <w:sz w:val="22"/>
          <w:szCs w:val="24"/>
          <w:lang w:eastAsia="zh-CN"/>
        </w:rPr>
        <w:t>室内主形象，摆放地点</w:t>
      </w:r>
      <w:r>
        <w:rPr>
          <w:rFonts w:hint="eastAsia"/>
          <w:sz w:val="22"/>
          <w:szCs w:val="24"/>
          <w:lang w:val="en-US" w:eastAsia="zh-CN"/>
        </w:rPr>
        <w:t>A1正门前广场</w:t>
      </w:r>
      <w:r>
        <w:rPr>
          <w:rFonts w:hint="eastAsia"/>
          <w:sz w:val="22"/>
          <w:szCs w:val="24"/>
          <w:lang w:eastAsia="zh-CN"/>
        </w:rPr>
        <w:t>，规格尺寸</w:t>
      </w:r>
      <w:r>
        <w:rPr>
          <w:rFonts w:hint="eastAsia"/>
          <w:sz w:val="22"/>
          <w:szCs w:val="24"/>
          <w:lang w:val="en-US" w:eastAsia="zh-CN"/>
        </w:rPr>
        <w:t>应不小于7m（宽）*2.8m（高）</w:t>
      </w:r>
      <w:r>
        <w:rPr>
          <w:rFonts w:hint="eastAsia"/>
          <w:sz w:val="22"/>
          <w:szCs w:val="24"/>
          <w:lang w:eastAsia="zh-CN"/>
        </w:rPr>
        <w:t>。</w:t>
      </w:r>
    </w:p>
    <w:p>
      <w:pPr>
        <w:pStyle w:val="2"/>
        <w:rPr>
          <w:rFonts w:hint="eastAsia"/>
          <w:sz w:val="22"/>
          <w:szCs w:val="24"/>
          <w:lang w:eastAsia="zh-CN"/>
        </w:rPr>
      </w:pPr>
      <w:r>
        <w:rPr>
          <w:rFonts w:hint="eastAsia"/>
          <w:sz w:val="22"/>
          <w:szCs w:val="24"/>
          <w:lang w:val="en-US" w:eastAsia="zh-CN"/>
        </w:rPr>
        <w:t>1</w:t>
      </w:r>
      <w:r>
        <w:rPr>
          <w:rFonts w:hint="eastAsia"/>
          <w:sz w:val="22"/>
          <w:szCs w:val="24"/>
          <w:lang w:eastAsia="zh-CN"/>
        </w:rPr>
        <w:t>.</w:t>
      </w:r>
      <w:r>
        <w:rPr>
          <w:rFonts w:hint="eastAsia"/>
          <w:sz w:val="22"/>
          <w:szCs w:val="24"/>
          <w:lang w:val="en-US" w:eastAsia="zh-CN"/>
        </w:rPr>
        <w:t>2</w:t>
      </w:r>
      <w:r>
        <w:rPr>
          <w:rFonts w:hint="eastAsia"/>
          <w:sz w:val="22"/>
          <w:szCs w:val="24"/>
          <w:lang w:eastAsia="zh-CN"/>
        </w:rPr>
        <w:t> 设计要求：契合</w:t>
      </w:r>
      <w:r>
        <w:rPr>
          <w:rFonts w:hint="eastAsia"/>
          <w:sz w:val="22"/>
          <w:szCs w:val="24"/>
          <w:lang w:val="en-US" w:eastAsia="zh-CN"/>
        </w:rPr>
        <w:t>2023中跨展行业</w:t>
      </w:r>
      <w:r>
        <w:rPr>
          <w:rFonts w:hint="eastAsia"/>
          <w:sz w:val="22"/>
          <w:szCs w:val="24"/>
          <w:lang w:eastAsia="zh-CN"/>
        </w:rPr>
        <w:t>理念，美化和活跃</w:t>
      </w:r>
      <w:r>
        <w:rPr>
          <w:rFonts w:hint="eastAsia"/>
          <w:sz w:val="22"/>
          <w:szCs w:val="24"/>
          <w:lang w:val="en-US" w:eastAsia="zh-CN"/>
        </w:rPr>
        <w:t>展</w:t>
      </w:r>
      <w:r>
        <w:rPr>
          <w:rFonts w:hint="eastAsia"/>
          <w:sz w:val="22"/>
          <w:szCs w:val="24"/>
          <w:lang w:eastAsia="zh-CN"/>
        </w:rPr>
        <w:t>会氛围、组织和丰富空间层次、宣传</w:t>
      </w:r>
      <w:r>
        <w:rPr>
          <w:rFonts w:hint="eastAsia"/>
          <w:sz w:val="22"/>
          <w:szCs w:val="24"/>
          <w:lang w:val="en-US" w:eastAsia="zh-CN"/>
        </w:rPr>
        <w:t>展</w:t>
      </w:r>
      <w:r>
        <w:rPr>
          <w:rFonts w:hint="eastAsia"/>
          <w:sz w:val="22"/>
          <w:szCs w:val="24"/>
          <w:lang w:eastAsia="zh-CN"/>
        </w:rPr>
        <w:t>会品牌、提升大会整体形象和档次、兼具打卡点功能。</w:t>
      </w:r>
    </w:p>
    <w:p>
      <w:pPr>
        <w:pStyle w:val="2"/>
        <w:rPr>
          <w:rFonts w:hint="eastAsia"/>
          <w:sz w:val="22"/>
          <w:szCs w:val="24"/>
          <w:lang w:eastAsia="zh-CN"/>
        </w:rPr>
      </w:pPr>
      <w:r>
        <w:rPr>
          <w:rFonts w:hint="eastAsia"/>
          <w:sz w:val="22"/>
          <w:szCs w:val="24"/>
          <w:lang w:val="en-US" w:eastAsia="zh-CN"/>
        </w:rPr>
        <w:t>1</w:t>
      </w:r>
      <w:r>
        <w:rPr>
          <w:rFonts w:hint="eastAsia"/>
          <w:sz w:val="22"/>
          <w:szCs w:val="24"/>
          <w:lang w:eastAsia="zh-CN"/>
        </w:rPr>
        <w:t>.</w:t>
      </w:r>
      <w:r>
        <w:rPr>
          <w:rFonts w:hint="eastAsia"/>
          <w:sz w:val="22"/>
          <w:szCs w:val="24"/>
          <w:lang w:val="en-US" w:eastAsia="zh-CN"/>
        </w:rPr>
        <w:t>3</w:t>
      </w:r>
      <w:r>
        <w:rPr>
          <w:rFonts w:hint="eastAsia"/>
          <w:sz w:val="22"/>
          <w:szCs w:val="24"/>
          <w:lang w:eastAsia="zh-CN"/>
        </w:rPr>
        <w:t> </w:t>
      </w:r>
      <w:r>
        <w:rPr>
          <w:rFonts w:hint="eastAsia"/>
          <w:sz w:val="22"/>
          <w:szCs w:val="24"/>
          <w:lang w:val="en-US" w:eastAsia="zh-CN"/>
        </w:rPr>
        <w:t>材质不限，</w:t>
      </w:r>
      <w:r>
        <w:rPr>
          <w:rFonts w:hint="eastAsia"/>
          <w:sz w:val="22"/>
          <w:szCs w:val="24"/>
          <w:lang w:eastAsia="zh-CN"/>
        </w:rPr>
        <w:t>提倡使用环保材料，主形象应作全方位修饰，同时避免对主形象背后造成大面积视觉遮挡。</w:t>
      </w:r>
    </w:p>
    <w:p>
      <w:pPr>
        <w:pStyle w:val="2"/>
        <w:rPr>
          <w:rFonts w:hint="default"/>
          <w:sz w:val="22"/>
          <w:szCs w:val="24"/>
          <w:lang w:val="en-US" w:eastAsia="zh-CN"/>
        </w:rPr>
      </w:pPr>
      <w:r>
        <w:rPr>
          <w:rFonts w:hint="eastAsia"/>
          <w:sz w:val="22"/>
          <w:szCs w:val="24"/>
          <w:lang w:val="en-US" w:eastAsia="zh-CN"/>
        </w:rPr>
        <w:t>2</w:t>
      </w:r>
      <w:r>
        <w:rPr>
          <w:rFonts w:hint="eastAsia"/>
          <w:sz w:val="22"/>
          <w:szCs w:val="24"/>
          <w:lang w:eastAsia="zh-CN"/>
        </w:rPr>
        <w:t>.</w:t>
      </w:r>
      <w:r>
        <w:rPr>
          <w:rFonts w:hint="eastAsia"/>
          <w:sz w:val="22"/>
          <w:szCs w:val="24"/>
          <w:lang w:val="en-US" w:eastAsia="zh-CN"/>
        </w:rPr>
        <w:t>组委会办公室设计及搭建</w:t>
      </w:r>
    </w:p>
    <w:p>
      <w:pPr>
        <w:pStyle w:val="2"/>
        <w:rPr>
          <w:rFonts w:hint="eastAsia"/>
          <w:sz w:val="22"/>
          <w:szCs w:val="24"/>
          <w:lang w:val="en-US" w:eastAsia="zh-CN"/>
        </w:rPr>
      </w:pPr>
      <w:r>
        <w:rPr>
          <w:rFonts w:hint="eastAsia"/>
          <w:sz w:val="22"/>
          <w:szCs w:val="24"/>
          <w:lang w:val="en-US" w:eastAsia="zh-CN"/>
        </w:rPr>
        <w:t>2</w:t>
      </w:r>
      <w:r>
        <w:rPr>
          <w:rFonts w:hint="eastAsia"/>
          <w:sz w:val="22"/>
          <w:szCs w:val="24"/>
          <w:lang w:eastAsia="zh-CN"/>
        </w:rPr>
        <w:t>.1 </w:t>
      </w:r>
      <w:r>
        <w:rPr>
          <w:rFonts w:hint="eastAsia"/>
          <w:sz w:val="22"/>
          <w:szCs w:val="24"/>
          <w:lang w:val="en-US" w:eastAsia="zh-CN"/>
        </w:rPr>
        <w:t>位置在展厅内，为6m*6m的36平特装展位，作为展会宣传、下届展会预定等功能使用。</w:t>
      </w:r>
    </w:p>
    <w:p>
      <w:pPr>
        <w:rPr>
          <w:rFonts w:hint="eastAsia"/>
          <w:lang w:val="en-US" w:eastAsia="zh-CN"/>
        </w:rPr>
      </w:pPr>
      <w:r>
        <w:rPr>
          <w:rFonts w:hint="eastAsia"/>
          <w:sz w:val="22"/>
          <w:szCs w:val="24"/>
          <w:lang w:val="en-US" w:eastAsia="zh-CN"/>
        </w:rPr>
        <w:t>2.2</w:t>
      </w:r>
      <w:r>
        <w:rPr>
          <w:rFonts w:hint="eastAsia" w:ascii="Calibri" w:hAnsi="Calibri" w:eastAsia="宋体" w:cs="Times New Roman"/>
          <w:kern w:val="2"/>
          <w:sz w:val="22"/>
          <w:szCs w:val="24"/>
          <w:lang w:val="en-US" w:eastAsia="zh-CN" w:bidi="ar-SA"/>
        </w:rPr>
        <w:t>材料及制作要求：木制、亚克力、型材等不限。</w:t>
      </w:r>
    </w:p>
    <w:p>
      <w:pPr>
        <w:pStyle w:val="2"/>
        <w:rPr>
          <w:rFonts w:hint="eastAsia" w:cs="Times New Roman"/>
          <w:kern w:val="2"/>
          <w:sz w:val="22"/>
          <w:szCs w:val="24"/>
          <w:highlight w:val="none"/>
          <w:lang w:val="en-US" w:eastAsia="zh-CN" w:bidi="ar-SA"/>
        </w:rPr>
      </w:pPr>
      <w:r>
        <w:rPr>
          <w:rFonts w:hint="eastAsia" w:cs="Times New Roman"/>
          <w:kern w:val="2"/>
          <w:sz w:val="22"/>
          <w:szCs w:val="24"/>
          <w:lang w:val="en-US" w:eastAsia="zh-CN" w:bidi="ar-SA"/>
        </w:rPr>
        <w:t>3.展厅内功能区设计及搭建</w:t>
      </w:r>
    </w:p>
    <w:p>
      <w:pPr>
        <w:rPr>
          <w:rFonts w:hint="default"/>
          <w:lang w:val="en-US" w:eastAsia="zh-CN"/>
        </w:rPr>
      </w:pPr>
      <w:r>
        <w:rPr>
          <w:rFonts w:hint="eastAsia"/>
          <w:highlight w:val="none"/>
          <w:lang w:val="en-US" w:eastAsia="zh-CN"/>
        </w:rPr>
        <w:t>3.1 对展厅内商务洽谈区（19m*29m）、活动区/功能区（9m*29m）、餐饮区（23m*29m）、行李寄存处（17m*22m）、休息区（40m*7m*2）</w:t>
      </w:r>
      <w:r>
        <w:rPr>
          <w:rFonts w:hint="eastAsia"/>
          <w:lang w:val="en-US" w:eastAsia="zh-CN"/>
        </w:rPr>
        <w:t>共5个功能区进行设计及搭建。</w:t>
      </w:r>
    </w:p>
    <w:p>
      <w:pPr>
        <w:pStyle w:val="2"/>
        <w:rPr>
          <w:rFonts w:hint="eastAsia" w:ascii="Calibri" w:hAnsi="Calibri" w:eastAsia="宋体" w:cs="Times New Roman"/>
          <w:kern w:val="2"/>
          <w:sz w:val="22"/>
          <w:szCs w:val="24"/>
          <w:lang w:val="en-US" w:eastAsia="zh-CN" w:bidi="ar-SA"/>
        </w:rPr>
      </w:pPr>
      <w:r>
        <w:rPr>
          <w:rFonts w:hint="eastAsia"/>
          <w:lang w:val="en-US" w:eastAsia="zh-CN"/>
        </w:rPr>
        <w:t xml:space="preserve">3.2 </w:t>
      </w:r>
      <w:r>
        <w:rPr>
          <w:rFonts w:hint="eastAsia" w:ascii="Calibri" w:hAnsi="Calibri" w:eastAsia="宋体" w:cs="Times New Roman"/>
          <w:kern w:val="2"/>
          <w:sz w:val="22"/>
          <w:szCs w:val="24"/>
          <w:lang w:val="en-US" w:eastAsia="zh-CN" w:bidi="ar-SA"/>
        </w:rPr>
        <w:t>材料及制作要求：木制、</w:t>
      </w:r>
      <w:r>
        <w:rPr>
          <w:rFonts w:hint="eastAsia" w:cs="Times New Roman"/>
          <w:kern w:val="2"/>
          <w:sz w:val="22"/>
          <w:szCs w:val="24"/>
          <w:lang w:val="en-US" w:eastAsia="zh-CN" w:bidi="ar-SA"/>
        </w:rPr>
        <w:t>桁架、</w:t>
      </w:r>
      <w:r>
        <w:rPr>
          <w:rFonts w:hint="eastAsia" w:ascii="Calibri" w:hAnsi="Calibri" w:eastAsia="宋体" w:cs="Times New Roman"/>
          <w:kern w:val="2"/>
          <w:sz w:val="22"/>
          <w:szCs w:val="24"/>
          <w:lang w:val="en-US" w:eastAsia="zh-CN" w:bidi="ar-SA"/>
        </w:rPr>
        <w:t>型材等不限，提倡使用环保材料。</w:t>
      </w:r>
    </w:p>
    <w:p>
      <w:pPr>
        <w:rPr>
          <w:rFonts w:hint="eastAsia" w:cs="Times New Roman"/>
          <w:kern w:val="2"/>
          <w:sz w:val="22"/>
          <w:szCs w:val="24"/>
          <w:lang w:val="en-US" w:eastAsia="zh-CN" w:bidi="ar-SA"/>
        </w:rPr>
      </w:pPr>
      <w:r>
        <w:rPr>
          <w:rFonts w:hint="eastAsia" w:cs="Times New Roman"/>
          <w:kern w:val="2"/>
          <w:sz w:val="22"/>
          <w:szCs w:val="24"/>
          <w:lang w:val="en-US" w:eastAsia="zh-CN" w:bidi="ar-SA"/>
        </w:rPr>
        <w:t>4.直播区设计及搭建</w:t>
      </w:r>
    </w:p>
    <w:p>
      <w:pPr>
        <w:pStyle w:val="2"/>
        <w:rPr>
          <w:rFonts w:hint="eastAsia" w:cs="Times New Roman"/>
          <w:kern w:val="2"/>
          <w:sz w:val="22"/>
          <w:szCs w:val="24"/>
          <w:lang w:val="en-US" w:eastAsia="zh-CN" w:bidi="ar-SA"/>
        </w:rPr>
      </w:pPr>
      <w:r>
        <w:rPr>
          <w:rFonts w:hint="eastAsia" w:cs="Times New Roman"/>
          <w:kern w:val="2"/>
          <w:sz w:val="22"/>
          <w:szCs w:val="24"/>
          <w:lang w:val="en-US" w:eastAsia="zh-CN" w:bidi="ar-SA"/>
        </w:rPr>
        <w:t>4.1 对展厅内设置的直播区（6m*3m）进行设计，展会期间满足平台等机构的直播需求</w:t>
      </w:r>
    </w:p>
    <w:p>
      <w:pPr>
        <w:rPr>
          <w:rFonts w:hint="eastAsia" w:cs="Times New Roman"/>
          <w:kern w:val="2"/>
          <w:sz w:val="22"/>
          <w:szCs w:val="24"/>
          <w:lang w:val="en-US" w:eastAsia="zh-CN" w:bidi="ar-SA"/>
        </w:rPr>
      </w:pPr>
      <w:r>
        <w:rPr>
          <w:rFonts w:hint="eastAsia" w:cs="Times New Roman"/>
          <w:kern w:val="2"/>
          <w:sz w:val="22"/>
          <w:szCs w:val="24"/>
          <w:lang w:val="en-US" w:eastAsia="zh-CN" w:bidi="ar-SA"/>
        </w:rPr>
        <w:t>4.2 要求使用绿色型材进行搭建。</w:t>
      </w:r>
    </w:p>
    <w:p>
      <w:pPr>
        <w:pStyle w:val="2"/>
        <w:rPr>
          <w:rFonts w:hint="eastAsia" w:cs="Times New Roman"/>
          <w:kern w:val="2"/>
          <w:sz w:val="22"/>
          <w:szCs w:val="24"/>
          <w:lang w:val="en-US" w:eastAsia="zh-CN" w:bidi="ar-SA"/>
        </w:rPr>
      </w:pPr>
      <w:r>
        <w:rPr>
          <w:rFonts w:hint="eastAsia" w:cs="Times New Roman"/>
          <w:kern w:val="2"/>
          <w:sz w:val="22"/>
          <w:szCs w:val="24"/>
          <w:lang w:val="en-US" w:eastAsia="zh-CN" w:bidi="ar-SA"/>
        </w:rPr>
        <w:t>5.贵宾室设计及搭建</w:t>
      </w:r>
    </w:p>
    <w:p>
      <w:pPr>
        <w:rPr>
          <w:rFonts w:hint="default"/>
          <w:lang w:val="en-US" w:eastAsia="zh-CN"/>
        </w:rPr>
      </w:pPr>
      <w:r>
        <w:rPr>
          <w:rFonts w:hint="eastAsia" w:cs="Times New Roman"/>
          <w:kern w:val="2"/>
          <w:sz w:val="22"/>
          <w:szCs w:val="24"/>
          <w:lang w:val="en-US" w:eastAsia="zh-CN" w:bidi="ar-SA"/>
        </w:rPr>
        <w:t>5.1 对A5主会场边贵宾室（12m*6m）进行设计，尺寸材质自拟，展会期间满足展会贵宾休息洽谈功能。</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注：该部分最高投标限</w:t>
      </w:r>
      <w:r>
        <w:rPr>
          <w:rFonts w:hint="eastAsia" w:cs="Times New Roman"/>
          <w:b/>
          <w:bCs/>
          <w:kern w:val="0"/>
          <w:sz w:val="22"/>
          <w:szCs w:val="22"/>
          <w:highlight w:val="none"/>
          <w:lang w:val="en-US" w:eastAsia="zh-CN" w:bidi="en-US"/>
        </w:rPr>
        <w:t>价16万元，</w:t>
      </w:r>
      <w:r>
        <w:rPr>
          <w:rFonts w:hint="eastAsia" w:cs="Times New Roman"/>
          <w:b/>
          <w:bCs/>
          <w:kern w:val="0"/>
          <w:sz w:val="22"/>
          <w:szCs w:val="22"/>
          <w:lang w:val="en-US" w:eastAsia="zh-CN" w:bidi="en-US"/>
        </w:rPr>
        <w:t>凡投标报价超出最高投标限价均作否决投标处理。</w:t>
      </w: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numPr>
          <w:ilvl w:val="0"/>
          <w:numId w:val="31"/>
        </w:numPr>
        <w:rPr>
          <w:rFonts w:hint="eastAsia"/>
          <w:b/>
          <w:bCs/>
          <w:sz w:val="24"/>
          <w:szCs w:val="28"/>
          <w:lang w:val="en-US" w:eastAsia="zh-CN"/>
        </w:rPr>
      </w:pPr>
      <w:r>
        <w:rPr>
          <w:rFonts w:hint="eastAsia"/>
          <w:b/>
          <w:bCs/>
          <w:sz w:val="24"/>
          <w:szCs w:val="28"/>
          <w:lang w:val="en-US" w:eastAsia="zh-CN"/>
        </w:rPr>
        <w:t>展会现场会场规划、设计、搭建及相关服务</w:t>
      </w:r>
    </w:p>
    <w:p>
      <w:pPr>
        <w:numPr>
          <w:ilvl w:val="0"/>
          <w:numId w:val="32"/>
        </w:numPr>
        <w:rPr>
          <w:rFonts w:hint="eastAsia"/>
          <w:sz w:val="21"/>
          <w:szCs w:val="21"/>
          <w:lang w:val="en-US" w:eastAsia="zh-CN"/>
        </w:rPr>
      </w:pPr>
      <w:r>
        <w:rPr>
          <w:rFonts w:hint="eastAsia"/>
          <w:sz w:val="21"/>
          <w:szCs w:val="21"/>
          <w:lang w:val="en-US" w:eastAsia="zh-CN"/>
        </w:rPr>
        <w:t>负责A5会场（26m*27m）、A3会场（27m*21m）、A2会场（30m*17m）共三个会场的规划及舞美设计、搭建、现场会务服务等。每个会场应至少设置舞台、LED屏、灯光、音响、会议桌椅等。</w:t>
      </w:r>
    </w:p>
    <w:p>
      <w:pPr>
        <w:pStyle w:val="2"/>
        <w:numPr>
          <w:ilvl w:val="0"/>
          <w:numId w:val="32"/>
        </w:numPr>
        <w:rPr>
          <w:rFonts w:hint="default"/>
          <w:sz w:val="22"/>
          <w:szCs w:val="24"/>
          <w:lang w:val="en-US" w:eastAsia="zh-CN"/>
        </w:rPr>
      </w:pPr>
      <w:r>
        <w:rPr>
          <w:rFonts w:hint="eastAsia" w:cs="Times New Roman"/>
          <w:kern w:val="0"/>
          <w:sz w:val="21"/>
          <w:szCs w:val="21"/>
          <w:lang w:val="en-US" w:eastAsia="zh-CN" w:bidi="en-US"/>
        </w:rPr>
        <w:t>会场</w:t>
      </w:r>
      <w:r>
        <w:rPr>
          <w:rFonts w:hint="eastAsia" w:ascii="Calibri" w:hAnsi="Calibri" w:eastAsia="宋体" w:cs="Times New Roman"/>
          <w:kern w:val="0"/>
          <w:sz w:val="21"/>
          <w:szCs w:val="21"/>
          <w:lang w:val="en-US" w:eastAsia="zh-CN" w:bidi="en-US"/>
        </w:rPr>
        <w:t>设计应与主题相协调，符合</w:t>
      </w:r>
      <w:r>
        <w:rPr>
          <w:rFonts w:hint="eastAsia" w:cs="Times New Roman"/>
          <w:kern w:val="0"/>
          <w:sz w:val="21"/>
          <w:szCs w:val="21"/>
          <w:lang w:val="en-US" w:eastAsia="zh-CN" w:bidi="en-US"/>
        </w:rPr>
        <w:t>展会</w:t>
      </w:r>
      <w:r>
        <w:rPr>
          <w:rFonts w:hint="eastAsia" w:ascii="Calibri" w:hAnsi="Calibri" w:eastAsia="宋体" w:cs="Times New Roman"/>
          <w:kern w:val="0"/>
          <w:sz w:val="21"/>
          <w:szCs w:val="21"/>
          <w:lang w:val="en-US" w:eastAsia="zh-CN" w:bidi="en-US"/>
        </w:rPr>
        <w:t>理念。</w:t>
      </w:r>
    </w:p>
    <w:p>
      <w:pPr>
        <w:numPr>
          <w:ilvl w:val="0"/>
          <w:numId w:val="32"/>
        </w:numPr>
        <w:ind w:left="0" w:leftChars="0" w:firstLine="0" w:firstLineChars="0"/>
        <w:rPr>
          <w:rFonts w:hint="default"/>
          <w:lang w:val="en-US" w:eastAsia="zh-CN"/>
        </w:rPr>
      </w:pPr>
      <w:r>
        <w:rPr>
          <w:rFonts w:hint="eastAsia" w:cs="Times New Roman"/>
          <w:kern w:val="0"/>
          <w:sz w:val="21"/>
          <w:szCs w:val="21"/>
          <w:lang w:val="en-US" w:eastAsia="zh-CN" w:bidi="en-US"/>
        </w:rPr>
        <w:t>结构的设计应符合结构力学所需的荷载强度要求，确保舞台结构的整体强度、刚度、稳定性、可靠性和各连接点的牢固性、安全性、适用性和耐久性，无施工安全隐患。</w:t>
      </w:r>
    </w:p>
    <w:p>
      <w:pPr>
        <w:pStyle w:val="2"/>
        <w:numPr>
          <w:ilvl w:val="0"/>
          <w:numId w:val="32"/>
        </w:numPr>
        <w:ind w:left="0" w:leftChars="0" w:firstLine="0" w:firstLineChars="0"/>
        <w:rPr>
          <w:rFonts w:hint="eastAsia"/>
          <w:lang w:val="en-US" w:eastAsia="zh-CN"/>
        </w:rPr>
      </w:pPr>
      <w:r>
        <w:rPr>
          <w:rFonts w:hint="eastAsia" w:cs="Times New Roman"/>
          <w:kern w:val="0"/>
          <w:sz w:val="21"/>
          <w:szCs w:val="21"/>
          <w:lang w:val="en-US" w:eastAsia="zh-CN" w:bidi="en-US"/>
        </w:rPr>
        <w:t>服务包括会场设计、搭建、执行、提词器、速记、启动签约道具、会议物料、会场撤除等与之相关的一切人工、物料、交通等费用。</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注：该部分最高投标限</w:t>
      </w:r>
      <w:r>
        <w:rPr>
          <w:rFonts w:hint="eastAsia" w:cs="Times New Roman"/>
          <w:b/>
          <w:bCs/>
          <w:kern w:val="0"/>
          <w:sz w:val="22"/>
          <w:szCs w:val="22"/>
          <w:highlight w:val="none"/>
          <w:lang w:val="en-US" w:eastAsia="zh-CN" w:bidi="en-US"/>
        </w:rPr>
        <w:t>价20万元，凡</w:t>
      </w:r>
      <w:r>
        <w:rPr>
          <w:rFonts w:hint="eastAsia" w:cs="Times New Roman"/>
          <w:b/>
          <w:bCs/>
          <w:kern w:val="0"/>
          <w:sz w:val="22"/>
          <w:szCs w:val="22"/>
          <w:lang w:val="en-US" w:eastAsia="zh-CN" w:bidi="en-US"/>
        </w:rPr>
        <w:t>投标报价超出最高投标限价均作否决投标处理。</w:t>
      </w:r>
    </w:p>
    <w:p>
      <w:pPr>
        <w:rPr>
          <w:rFonts w:hint="eastAsia" w:cs="Times New Roman"/>
          <w:b/>
          <w:bCs/>
          <w:kern w:val="0"/>
          <w:sz w:val="22"/>
          <w:szCs w:val="22"/>
          <w:lang w:val="en-US" w:eastAsia="zh-CN" w:bidi="en-US"/>
        </w:rPr>
      </w:pPr>
    </w:p>
    <w:p>
      <w:pPr>
        <w:pStyle w:val="2"/>
        <w:numPr>
          <w:ilvl w:val="0"/>
          <w:numId w:val="31"/>
        </w:numPr>
        <w:rPr>
          <w:rFonts w:hint="default"/>
          <w:b/>
          <w:bCs/>
          <w:sz w:val="24"/>
          <w:szCs w:val="28"/>
          <w:lang w:val="en-US" w:eastAsia="zh-CN"/>
        </w:rPr>
      </w:pPr>
      <w:r>
        <w:rPr>
          <w:rFonts w:hint="eastAsia"/>
          <w:b/>
          <w:bCs/>
          <w:sz w:val="24"/>
          <w:szCs w:val="28"/>
          <w:lang w:val="en-US" w:eastAsia="zh-CN"/>
        </w:rPr>
        <w:t>标准展位展具租赁、配置服务</w:t>
      </w:r>
    </w:p>
    <w:p>
      <w:pPr>
        <w:numPr>
          <w:ilvl w:val="0"/>
          <w:numId w:val="33"/>
        </w:numPr>
        <w:rPr>
          <w:rFonts w:hint="eastAsia" w:cs="Times New Roman"/>
          <w:kern w:val="0"/>
          <w:sz w:val="21"/>
          <w:szCs w:val="21"/>
          <w:lang w:val="en-US" w:eastAsia="zh-CN" w:bidi="en-US"/>
        </w:rPr>
      </w:pPr>
      <w:r>
        <w:rPr>
          <w:rFonts w:hint="eastAsia" w:cs="Times New Roman"/>
          <w:kern w:val="0"/>
          <w:sz w:val="21"/>
          <w:szCs w:val="21"/>
          <w:lang w:val="en-US" w:eastAsia="zh-CN" w:bidi="en-US"/>
        </w:rPr>
        <w:t>对展会标准展位的展具根据标准进行配置，并安排专人核查是否有错漏。</w:t>
      </w:r>
    </w:p>
    <w:p>
      <w:pPr>
        <w:pStyle w:val="2"/>
        <w:numPr>
          <w:ilvl w:val="0"/>
          <w:numId w:val="33"/>
        </w:numPr>
        <w:rPr>
          <w:rFonts w:hint="default"/>
          <w:sz w:val="21"/>
          <w:szCs w:val="21"/>
          <w:lang w:val="en-US" w:eastAsia="zh-CN"/>
        </w:rPr>
      </w:pPr>
      <w:r>
        <w:rPr>
          <w:rFonts w:hint="eastAsia"/>
          <w:sz w:val="21"/>
          <w:szCs w:val="21"/>
          <w:lang w:val="en-US" w:eastAsia="zh-CN"/>
        </w:rPr>
        <w:t>根据4种不同的增配方案的单价进行报价。</w:t>
      </w:r>
      <w:r>
        <w:rPr>
          <w:rFonts w:hint="eastAsia"/>
          <w:b/>
          <w:bCs/>
          <w:sz w:val="21"/>
          <w:szCs w:val="21"/>
          <w:lang w:val="en-US" w:eastAsia="zh-CN"/>
        </w:rPr>
        <w:t>注：会展中心标配1张洽谈桌+2张洽谈椅</w:t>
      </w:r>
      <w:r>
        <w:rPr>
          <w:rFonts w:hint="eastAsia"/>
          <w:sz w:val="21"/>
          <w:szCs w:val="21"/>
          <w:lang w:val="en-US" w:eastAsia="zh-CN"/>
        </w:rPr>
        <w:t>。</w:t>
      </w:r>
    </w:p>
    <w:p>
      <w:pPr>
        <w:pStyle w:val="2"/>
        <w:numPr>
          <w:ilvl w:val="0"/>
          <w:numId w:val="0"/>
        </w:numPr>
        <w:rPr>
          <w:rFonts w:hint="default"/>
          <w:sz w:val="21"/>
          <w:szCs w:val="21"/>
          <w:lang w:val="en-US" w:eastAsia="zh-CN"/>
        </w:rPr>
      </w:pPr>
      <w:r>
        <w:rPr>
          <w:rFonts w:hint="eastAsia"/>
          <w:sz w:val="21"/>
          <w:szCs w:val="21"/>
          <w:lang w:val="en-US" w:eastAsia="zh-CN"/>
        </w:rPr>
        <w:t>具体增配方案如下：</w:t>
      </w:r>
    </w:p>
    <w:p>
      <w:pPr>
        <w:rPr>
          <w:rFonts w:hint="eastAsia"/>
          <w:sz w:val="21"/>
          <w:szCs w:val="21"/>
          <w:lang w:val="en-US" w:eastAsia="zh-CN"/>
        </w:rPr>
      </w:pPr>
      <w:r>
        <w:rPr>
          <w:rFonts w:hint="eastAsia"/>
          <w:sz w:val="21"/>
          <w:szCs w:val="21"/>
          <w:lang w:val="en-US" w:eastAsia="zh-CN"/>
        </w:rPr>
        <w:t>配置1（200个）: 6块层板+1张洽谈椅</w:t>
      </w:r>
    </w:p>
    <w:p>
      <w:pPr>
        <w:pStyle w:val="2"/>
        <w:rPr>
          <w:rFonts w:hint="eastAsia"/>
          <w:sz w:val="21"/>
          <w:szCs w:val="21"/>
          <w:lang w:val="en-US" w:eastAsia="zh-CN"/>
        </w:rPr>
      </w:pPr>
      <w:r>
        <w:rPr>
          <w:rFonts w:hint="eastAsia"/>
          <w:sz w:val="21"/>
          <w:szCs w:val="21"/>
          <w:lang w:val="en-US" w:eastAsia="zh-CN"/>
        </w:rPr>
        <w:t>配置2（30个）: 1个落地衣架+3个挂衣杆（1m）+1张洽谈椅</w:t>
      </w:r>
    </w:p>
    <w:p>
      <w:pPr>
        <w:rPr>
          <w:rFonts w:hint="eastAsia"/>
          <w:sz w:val="21"/>
          <w:szCs w:val="21"/>
          <w:lang w:val="en-US" w:eastAsia="zh-CN"/>
        </w:rPr>
      </w:pPr>
      <w:r>
        <w:rPr>
          <w:rFonts w:hint="eastAsia"/>
          <w:sz w:val="21"/>
          <w:szCs w:val="21"/>
          <w:lang w:val="en-US" w:eastAsia="zh-CN"/>
        </w:rPr>
        <w:t>配置3（180个）: 1张咨询桌+1张洽谈椅</w:t>
      </w:r>
    </w:p>
    <w:p>
      <w:pPr>
        <w:pStyle w:val="2"/>
        <w:rPr>
          <w:rFonts w:hint="default"/>
          <w:lang w:val="en-US" w:eastAsia="zh-CN"/>
        </w:rPr>
      </w:pPr>
      <w:r>
        <w:rPr>
          <w:rFonts w:hint="eastAsia"/>
          <w:sz w:val="21"/>
          <w:szCs w:val="21"/>
          <w:lang w:val="en-US" w:eastAsia="zh-CN"/>
        </w:rPr>
        <w:t>配置4（20个）: 3张网片+1张洽谈椅</w:t>
      </w:r>
    </w:p>
    <w:p>
      <w:pPr>
        <w:numPr>
          <w:ilvl w:val="0"/>
          <w:numId w:val="33"/>
        </w:numPr>
        <w:ind w:left="0" w:leftChars="0" w:firstLine="0" w:firstLineChars="0"/>
        <w:rPr>
          <w:rFonts w:hint="default"/>
          <w:sz w:val="21"/>
          <w:szCs w:val="21"/>
          <w:lang w:val="en-US" w:eastAsia="zh-CN"/>
        </w:rPr>
      </w:pPr>
      <w:r>
        <w:rPr>
          <w:rFonts w:hint="eastAsia"/>
          <w:sz w:val="21"/>
          <w:szCs w:val="21"/>
          <w:lang w:val="en-US" w:eastAsia="zh-CN"/>
        </w:rPr>
        <w:t>开放线上系统提供展具预定服务，展会现场为参展商提供展具增租服务。</w:t>
      </w:r>
    </w:p>
    <w:p>
      <w:pPr>
        <w:rPr>
          <w:rFonts w:hint="eastAsia" w:cs="Times New Roman"/>
          <w:kern w:val="0"/>
          <w:sz w:val="21"/>
          <w:szCs w:val="21"/>
          <w:highlight w:val="none"/>
          <w:lang w:val="en-US" w:eastAsia="zh-CN" w:bidi="en-US"/>
        </w:rPr>
      </w:pPr>
    </w:p>
    <w:p>
      <w:pPr>
        <w:rPr>
          <w:rFonts w:hint="default"/>
          <w:highlight w:val="none"/>
          <w:lang w:val="en-US" w:eastAsia="zh-CN"/>
        </w:rPr>
      </w:pPr>
      <w:r>
        <w:rPr>
          <w:rFonts w:hint="eastAsia" w:cs="Times New Roman"/>
          <w:b/>
          <w:bCs/>
          <w:kern w:val="0"/>
          <w:sz w:val="22"/>
          <w:szCs w:val="22"/>
          <w:highlight w:val="none"/>
          <w:lang w:val="en-US" w:eastAsia="zh-CN" w:bidi="en-US"/>
        </w:rPr>
        <w:t>注：该部分最高投标限价10.7万元，凡投标报价超出最高投标限价均作否决投标处理。</w:t>
      </w:r>
    </w:p>
    <w:p>
      <w:pPr>
        <w:rPr>
          <w:rFonts w:hint="eastAsia" w:cs="Times New Roman"/>
          <w:b/>
          <w:bCs/>
          <w:kern w:val="0"/>
          <w:sz w:val="22"/>
          <w:szCs w:val="22"/>
          <w:lang w:val="en-US" w:eastAsia="zh-CN" w:bidi="en-US"/>
        </w:rPr>
      </w:pPr>
    </w:p>
    <w:p>
      <w:pPr>
        <w:pStyle w:val="2"/>
        <w:rPr>
          <w:rFonts w:hint="eastAsia" w:cs="Times New Roman"/>
          <w:b/>
          <w:bCs/>
          <w:kern w:val="0"/>
          <w:sz w:val="22"/>
          <w:szCs w:val="22"/>
          <w:lang w:val="en-US" w:eastAsia="zh-CN" w:bidi="en-US"/>
        </w:rPr>
      </w:pPr>
    </w:p>
    <w:p>
      <w:pPr>
        <w:rPr>
          <w:rFonts w:hint="eastAsia" w:cs="Times New Roman"/>
          <w:b/>
          <w:bCs/>
          <w:kern w:val="0"/>
          <w:sz w:val="22"/>
          <w:szCs w:val="22"/>
          <w:lang w:val="en-US" w:eastAsia="zh-CN" w:bidi="en-US"/>
        </w:rPr>
      </w:pPr>
    </w:p>
    <w:p>
      <w:pPr>
        <w:pStyle w:val="2"/>
        <w:rPr>
          <w:rFonts w:hint="eastAsia"/>
          <w:lang w:val="en-US" w:eastAsia="zh-CN"/>
        </w:rPr>
      </w:pPr>
    </w:p>
    <w:p>
      <w:pPr>
        <w:pStyle w:val="2"/>
        <w:rPr>
          <w:rFonts w:hint="eastAsia"/>
          <w:lang w:val="en-US" w:eastAsia="zh-CN"/>
        </w:rPr>
      </w:pPr>
    </w:p>
    <w:p>
      <w:pPr>
        <w:pStyle w:val="2"/>
        <w:numPr>
          <w:ilvl w:val="0"/>
          <w:numId w:val="31"/>
        </w:numPr>
        <w:ind w:left="0" w:leftChars="0" w:firstLine="0" w:firstLine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跨境晚宴舞美设计及氛围搭建</w:t>
      </w:r>
    </w:p>
    <w:p>
      <w:pPr>
        <w:numPr>
          <w:ilvl w:val="0"/>
          <w:numId w:val="34"/>
        </w:numPr>
        <w:ind w:leftChars="0"/>
        <w:rPr>
          <w:rFonts w:hint="eastAsia"/>
          <w:sz w:val="21"/>
          <w:szCs w:val="21"/>
          <w:highlight w:val="none"/>
          <w:lang w:val="en-US" w:eastAsia="zh-CN"/>
        </w:rPr>
      </w:pPr>
      <w:r>
        <w:rPr>
          <w:rFonts w:hint="eastAsia"/>
          <w:sz w:val="21"/>
          <w:szCs w:val="21"/>
          <w:highlight w:val="none"/>
          <w:lang w:val="en-US" w:eastAsia="zh-CN"/>
        </w:rPr>
        <w:t>拟使用佰翔软件园酒店会议厅（1000平）作为晚宴场地，合理规划设计舞美、动线、氛围、流程等，需满足至少600人参加。并完成搭建和物料制作。长条桌30人、圆桌50*10人</w:t>
      </w:r>
    </w:p>
    <w:p>
      <w:pPr>
        <w:pStyle w:val="2"/>
        <w:numPr>
          <w:ilvl w:val="0"/>
          <w:numId w:val="34"/>
        </w:numPr>
        <w:rPr>
          <w:rFonts w:hint="default"/>
          <w:sz w:val="21"/>
          <w:szCs w:val="21"/>
          <w:highlight w:val="none"/>
          <w:lang w:val="en-US" w:eastAsia="zh-CN"/>
        </w:rPr>
      </w:pPr>
      <w:r>
        <w:rPr>
          <w:rFonts w:hint="eastAsia"/>
          <w:sz w:val="21"/>
          <w:szCs w:val="21"/>
          <w:highlight w:val="none"/>
          <w:lang w:val="en-US" w:eastAsia="zh-CN"/>
        </w:rPr>
        <w:t>报价需包含平面规划图、灯光、氛围布置、互动程序、演艺、提词屏、照片直播、场地可能产生的费用等。</w:t>
      </w:r>
    </w:p>
    <w:p>
      <w:pPr>
        <w:pStyle w:val="2"/>
        <w:rPr>
          <w:rFonts w:hint="eastAsia" w:cs="Times New Roman"/>
          <w:b/>
          <w:bCs/>
          <w:kern w:val="0"/>
          <w:sz w:val="22"/>
          <w:szCs w:val="22"/>
          <w:highlight w:val="none"/>
          <w:lang w:val="en-US" w:eastAsia="zh-CN" w:bidi="en-US"/>
        </w:rPr>
      </w:pPr>
      <w:r>
        <w:rPr>
          <w:rFonts w:hint="eastAsia" w:cs="Times New Roman"/>
          <w:b/>
          <w:bCs/>
          <w:kern w:val="0"/>
          <w:sz w:val="22"/>
          <w:szCs w:val="22"/>
          <w:highlight w:val="none"/>
          <w:lang w:val="en-US" w:eastAsia="zh-CN" w:bidi="en-US"/>
        </w:rPr>
        <w:t>注：该部分最高投标限价3万元，凡投标报价超出最高投标限价均作否决投标处理。</w:t>
      </w:r>
    </w:p>
    <w:p>
      <w:pPr>
        <w:rPr>
          <w:rFonts w:hint="eastAsia" w:cs="Times New Roman"/>
          <w:b/>
          <w:bCs/>
          <w:kern w:val="0"/>
          <w:sz w:val="22"/>
          <w:szCs w:val="22"/>
          <w:lang w:val="en-US" w:eastAsia="zh-CN" w:bidi="en-US"/>
        </w:rPr>
      </w:pPr>
    </w:p>
    <w:p>
      <w:pPr>
        <w:pStyle w:val="2"/>
        <w:numPr>
          <w:ilvl w:val="0"/>
          <w:numId w:val="31"/>
        </w:numPr>
        <w:ind w:left="0" w:leftChars="0" w:firstLine="0" w:firstLine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地毯铺设</w:t>
      </w:r>
    </w:p>
    <w:p>
      <w:pPr>
        <w:numPr>
          <w:ilvl w:val="0"/>
          <w:numId w:val="35"/>
        </w:numPr>
        <w:rPr>
          <w:rFonts w:hint="default"/>
          <w:sz w:val="21"/>
          <w:szCs w:val="21"/>
          <w:lang w:val="en-US" w:eastAsia="zh-CN"/>
        </w:rPr>
      </w:pPr>
      <w:r>
        <w:rPr>
          <w:rFonts w:hint="eastAsia"/>
          <w:sz w:val="21"/>
          <w:szCs w:val="21"/>
          <w:lang w:val="en-US" w:eastAsia="zh-CN"/>
        </w:rPr>
        <w:t>铺设展会标准展位及通道地毯，要求满足消防阻燃要求，并按时保质保量完成铺设。</w:t>
      </w:r>
    </w:p>
    <w:p>
      <w:pPr>
        <w:numPr>
          <w:ilvl w:val="0"/>
          <w:numId w:val="35"/>
        </w:numPr>
        <w:ind w:left="0" w:leftChars="0" w:firstLine="0" w:firstLineChars="0"/>
        <w:rPr>
          <w:rFonts w:hint="default"/>
          <w:sz w:val="21"/>
          <w:szCs w:val="21"/>
          <w:highlight w:val="none"/>
          <w:lang w:val="en-US" w:eastAsia="zh-CN"/>
        </w:rPr>
      </w:pPr>
      <w:r>
        <w:rPr>
          <w:rFonts w:hint="eastAsia"/>
          <w:sz w:val="21"/>
          <w:szCs w:val="21"/>
          <w:lang w:val="en-US" w:eastAsia="zh-CN"/>
        </w:rPr>
        <w:t>制</w:t>
      </w:r>
      <w:r>
        <w:rPr>
          <w:rFonts w:hint="eastAsia"/>
          <w:sz w:val="21"/>
          <w:szCs w:val="21"/>
          <w:highlight w:val="none"/>
          <w:lang w:val="en-US" w:eastAsia="zh-CN"/>
        </w:rPr>
        <w:t>定地毯铺设方案，对通道及标准展位需要铺设的面积进行估算（24000平方以内）并报价。</w:t>
      </w:r>
    </w:p>
    <w:p>
      <w:pPr>
        <w:pStyle w:val="2"/>
        <w:rPr>
          <w:rFonts w:hint="eastAsia" w:cs="Times New Roman"/>
          <w:b/>
          <w:bCs/>
          <w:kern w:val="0"/>
          <w:sz w:val="22"/>
          <w:szCs w:val="22"/>
          <w:highlight w:val="none"/>
          <w:lang w:val="en-US" w:eastAsia="zh-CN" w:bidi="en-US"/>
        </w:rPr>
      </w:pPr>
      <w:r>
        <w:rPr>
          <w:rFonts w:hint="eastAsia" w:cs="Times New Roman"/>
          <w:b/>
          <w:bCs/>
          <w:kern w:val="0"/>
          <w:sz w:val="22"/>
          <w:szCs w:val="22"/>
          <w:highlight w:val="none"/>
          <w:lang w:val="en-US" w:eastAsia="zh-CN" w:bidi="en-US"/>
        </w:rPr>
        <w:t>注：该部分最高投标限价23.7万元，凡投标报价超出最高投标限价均作否决投标处理。</w:t>
      </w:r>
    </w:p>
    <w:p>
      <w:pPr>
        <w:pStyle w:val="2"/>
        <w:rPr>
          <w:rFonts w:hint="default"/>
          <w:lang w:val="en-US" w:eastAsia="zh-CN"/>
        </w:rPr>
      </w:pPr>
    </w:p>
    <w:p>
      <w:pPr>
        <w:pStyle w:val="2"/>
        <w:numPr>
          <w:ilvl w:val="0"/>
          <w:numId w:val="31"/>
        </w:numPr>
        <w:ind w:left="0" w:leftChars="0" w:firstLine="0" w:firstLine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物料采购</w:t>
      </w:r>
    </w:p>
    <w:p>
      <w:pPr>
        <w:numPr>
          <w:ilvl w:val="0"/>
          <w:numId w:val="36"/>
        </w:numPr>
        <w:ind w:leftChars="0"/>
        <w:rPr>
          <w:rFonts w:hint="default"/>
          <w:lang w:val="en-US" w:eastAsia="zh-CN"/>
        </w:rPr>
      </w:pPr>
      <w:r>
        <w:rPr>
          <w:rFonts w:hint="eastAsia"/>
          <w:sz w:val="21"/>
          <w:szCs w:val="21"/>
          <w:lang w:val="en-US" w:eastAsia="zh-CN"/>
        </w:rPr>
        <w:t>根据主办方的要求采购会议展览所需物料，包括但不限于奖杯、奖牌、横幅、手举牌等。</w:t>
      </w:r>
    </w:p>
    <w:p>
      <w:pPr>
        <w:pStyle w:val="2"/>
        <w:numPr>
          <w:ilvl w:val="0"/>
          <w:numId w:val="36"/>
        </w:numPr>
        <w:ind w:left="0" w:leftChars="0" w:firstLine="0" w:firstLineChars="0"/>
        <w:rPr>
          <w:rFonts w:hint="default"/>
          <w:lang w:val="en-US" w:eastAsia="zh-CN"/>
        </w:rPr>
      </w:pPr>
      <w:r>
        <w:rPr>
          <w:rFonts w:hint="eastAsia"/>
          <w:sz w:val="22"/>
          <w:szCs w:val="24"/>
          <w:lang w:val="en-US" w:eastAsia="zh-CN"/>
        </w:rPr>
        <w:t>数</w:t>
      </w:r>
      <w:r>
        <w:rPr>
          <w:rFonts w:hint="eastAsia"/>
          <w:sz w:val="21"/>
          <w:szCs w:val="22"/>
          <w:lang w:val="en-US" w:eastAsia="zh-CN"/>
        </w:rPr>
        <w:t>物料类型尺寸及材质要求：横幅*100条（旗帜布喷绘，5m*0.8m）、水晶奖杯*2个、木质奖牌*120块、KT板手举牌*80个（60cm*90cm）及其它展览会议可能涉及的物料进行报价。</w:t>
      </w:r>
    </w:p>
    <w:p>
      <w:pPr>
        <w:pStyle w:val="2"/>
        <w:rPr>
          <w:rFonts w:hint="eastAsia" w:cs="Times New Roman"/>
          <w:kern w:val="0"/>
          <w:sz w:val="21"/>
          <w:szCs w:val="21"/>
          <w:lang w:val="en-US" w:eastAsia="zh-CN" w:bidi="en-US"/>
        </w:rPr>
      </w:pPr>
      <w:r>
        <w:rPr>
          <w:rFonts w:hint="eastAsia" w:cs="Times New Roman"/>
          <w:b/>
          <w:bCs/>
          <w:kern w:val="0"/>
          <w:sz w:val="22"/>
          <w:szCs w:val="22"/>
          <w:lang w:val="en-US" w:eastAsia="zh-CN" w:bidi="en-US"/>
        </w:rPr>
        <w:t>注：该部分最高投标限</w:t>
      </w:r>
      <w:r>
        <w:rPr>
          <w:rFonts w:hint="eastAsia" w:cs="Times New Roman"/>
          <w:b/>
          <w:bCs/>
          <w:kern w:val="0"/>
          <w:sz w:val="22"/>
          <w:szCs w:val="22"/>
          <w:highlight w:val="none"/>
          <w:lang w:val="en-US" w:eastAsia="zh-CN" w:bidi="en-US"/>
        </w:rPr>
        <w:t>价3万元，</w:t>
      </w:r>
      <w:r>
        <w:rPr>
          <w:rFonts w:hint="eastAsia" w:cs="Times New Roman"/>
          <w:b/>
          <w:bCs/>
          <w:kern w:val="0"/>
          <w:sz w:val="22"/>
          <w:szCs w:val="22"/>
          <w:lang w:val="en-US" w:eastAsia="zh-CN" w:bidi="en-US"/>
        </w:rPr>
        <w:t>凡投标报价超出最高投标限价均作否决投标处理。</w:t>
      </w:r>
    </w:p>
    <w:p>
      <w:pPr>
        <w:pStyle w:val="2"/>
        <w:rPr>
          <w:rFonts w:hint="eastAsia"/>
          <w:lang w:val="en-US" w:eastAsia="zh-CN"/>
        </w:rPr>
      </w:pPr>
    </w:p>
    <w:p>
      <w:pPr>
        <w:numPr>
          <w:ilvl w:val="0"/>
          <w:numId w:val="0"/>
        </w:numPr>
        <w:ind w:left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（八）用车服务</w:t>
      </w:r>
    </w:p>
    <w:p>
      <w:pPr>
        <w:rPr>
          <w:rFonts w:hint="eastAsia" w:cs="Times New Roman"/>
          <w:kern w:val="0"/>
          <w:sz w:val="21"/>
          <w:szCs w:val="21"/>
          <w:lang w:val="en-US" w:eastAsia="zh-CN" w:bidi="en-US"/>
        </w:rPr>
      </w:pPr>
      <w:r>
        <w:rPr>
          <w:rFonts w:hint="eastAsia" w:cs="Times New Roman"/>
          <w:kern w:val="0"/>
          <w:sz w:val="21"/>
          <w:szCs w:val="21"/>
          <w:lang w:val="en-US" w:eastAsia="zh-CN" w:bidi="en-US"/>
        </w:rPr>
        <w:t>1. 车辆要求：小车接站（60趟），小车租用（8小时/天*40台）；19座考斯特中巴接站（10趟），19座考斯特中巴租用（8小时/天*5台）；7座商务车接送（40趟），7座商务车租用（8小时/天*10台）；33座大巴接站（8趟），33座大巴租用（8小时/天*5台））；48座大巴租用（8小时/天*20台）；55座大巴租用（8小时/天*20台）。</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注：该部分最高限价为15万元，凡投标报价超出最高投标限价均作否决投标处理。</w:t>
      </w:r>
    </w:p>
    <w:p>
      <w:pPr>
        <w:rPr>
          <w:rFonts w:hint="eastAsia" w:cs="Times New Roman"/>
          <w:b/>
          <w:bCs/>
          <w:kern w:val="0"/>
          <w:sz w:val="22"/>
          <w:szCs w:val="22"/>
          <w:lang w:val="en-US" w:eastAsia="zh-CN" w:bidi="en-US"/>
        </w:rPr>
      </w:pPr>
    </w:p>
    <w:p>
      <w:pPr>
        <w:pStyle w:val="2"/>
        <w:rPr>
          <w:rFonts w:hint="eastAsia" w:cs="Times New Roman"/>
          <w:b/>
          <w:bCs/>
          <w:kern w:val="0"/>
          <w:sz w:val="22"/>
          <w:szCs w:val="22"/>
          <w:lang w:val="en-US" w:eastAsia="zh-CN" w:bidi="en-US"/>
        </w:rPr>
      </w:pPr>
    </w:p>
    <w:p>
      <w:pPr>
        <w:rPr>
          <w:rFonts w:hint="eastAsia"/>
          <w:lang w:val="en-US" w:eastAsia="zh-CN"/>
        </w:rPr>
      </w:pPr>
    </w:p>
    <w:p>
      <w:pPr>
        <w:pStyle w:val="2"/>
        <w:rPr>
          <w:rFonts w:hint="default" w:ascii="Calibri" w:hAnsi="Calibri" w:eastAsia="宋体" w:cs="Times New Roman"/>
          <w:b/>
          <w:bCs/>
          <w:kern w:val="0"/>
          <w:sz w:val="24"/>
          <w:szCs w:val="24"/>
          <w:lang w:val="en-US" w:eastAsia="zh-CN" w:bidi="en-US"/>
        </w:rPr>
      </w:pPr>
      <w:r>
        <w:rPr>
          <w:rFonts w:hint="eastAsia" w:ascii="Calibri" w:hAnsi="Calibri" w:eastAsia="宋体" w:cs="Times New Roman"/>
          <w:b/>
          <w:bCs/>
          <w:kern w:val="0"/>
          <w:sz w:val="24"/>
          <w:szCs w:val="24"/>
          <w:lang w:val="en-US" w:eastAsia="zh-CN" w:bidi="en-US"/>
        </w:rPr>
        <w:t>（九）接待工作人员</w:t>
      </w:r>
    </w:p>
    <w:p>
      <w:pPr>
        <w:pStyle w:val="2"/>
        <w:rPr>
          <w:rFonts w:hint="default" w:cs="Times New Roman"/>
          <w:kern w:val="0"/>
          <w:sz w:val="21"/>
          <w:szCs w:val="21"/>
          <w:lang w:val="en-US" w:eastAsia="zh-CN" w:bidi="en-US"/>
        </w:rPr>
      </w:pPr>
      <w:r>
        <w:rPr>
          <w:rFonts w:hint="eastAsia" w:cs="Times New Roman"/>
          <w:kern w:val="0"/>
          <w:sz w:val="21"/>
          <w:szCs w:val="21"/>
          <w:lang w:val="en-US" w:eastAsia="zh-CN" w:bidi="en-US"/>
        </w:rPr>
        <w:t>1.工作人员要求：2023.6.13-6.18,共6天（8小时/日），每日保证9名工作人员提供接待服务，合计54人次。</w:t>
      </w:r>
    </w:p>
    <w:p>
      <w:pPr>
        <w:pStyle w:val="2"/>
        <w:rPr>
          <w:rFonts w:hint="default"/>
          <w:lang w:val="en-US" w:eastAsia="zh-CN"/>
        </w:rPr>
      </w:pPr>
      <w:r>
        <w:rPr>
          <w:rFonts w:hint="eastAsia" w:cs="Times New Roman"/>
          <w:kern w:val="0"/>
          <w:sz w:val="21"/>
          <w:szCs w:val="21"/>
          <w:lang w:val="en-US" w:eastAsia="zh-CN" w:bidi="en-US"/>
        </w:rPr>
        <w:t>2. 应设置合理的人员分工并明确其职责，安排合理的时间进度，完成招标方交办的接待任务。</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注：该部分最高限价为2.5万元，凡投标报价超出最高投标限价均作否决投标处理。</w:t>
      </w:r>
    </w:p>
    <w:p>
      <w:pPr>
        <w:rPr>
          <w:rFonts w:hint="eastAsia" w:cs="Times New Roman"/>
          <w:b/>
          <w:bCs/>
          <w:kern w:val="0"/>
          <w:sz w:val="22"/>
          <w:szCs w:val="22"/>
          <w:lang w:val="en-US" w:eastAsia="zh-CN" w:bidi="en-US"/>
        </w:rPr>
      </w:pPr>
    </w:p>
    <w:p>
      <w:pPr>
        <w:pStyle w:val="2"/>
        <w:numPr>
          <w:ilvl w:val="0"/>
          <w:numId w:val="37"/>
        </w:numPr>
        <w:rPr>
          <w:rFonts w:hint="eastAsia" w:ascii="Calibri" w:hAnsi="Calibri" w:eastAsia="宋体" w:cs="Times New Roman"/>
          <w:b/>
          <w:bCs/>
          <w:kern w:val="0"/>
          <w:sz w:val="24"/>
          <w:szCs w:val="24"/>
          <w:lang w:val="en-US" w:eastAsia="zh-CN" w:bidi="en-US"/>
        </w:rPr>
      </w:pPr>
      <w:r>
        <w:rPr>
          <w:rFonts w:hint="eastAsia" w:ascii="Calibri" w:hAnsi="Calibri" w:eastAsia="宋体" w:cs="Times New Roman"/>
          <w:b/>
          <w:bCs/>
          <w:kern w:val="0"/>
          <w:sz w:val="24"/>
          <w:szCs w:val="24"/>
          <w:lang w:val="en-US" w:eastAsia="zh-CN" w:bidi="en-US"/>
        </w:rPr>
        <w:t>酒店预定、票务、报到及分房等接待服务</w:t>
      </w:r>
    </w:p>
    <w:p>
      <w:pPr>
        <w:pStyle w:val="2"/>
        <w:rPr>
          <w:rFonts w:hint="default" w:cs="Times New Roman"/>
          <w:kern w:val="0"/>
          <w:sz w:val="21"/>
          <w:szCs w:val="21"/>
          <w:lang w:val="en-US" w:eastAsia="zh-CN" w:bidi="en-US"/>
        </w:rPr>
      </w:pPr>
      <w:r>
        <w:rPr>
          <w:rFonts w:hint="eastAsia" w:ascii="Calibri" w:hAnsi="Calibri" w:eastAsia="宋体" w:cs="Times New Roman"/>
          <w:kern w:val="0"/>
          <w:sz w:val="21"/>
          <w:szCs w:val="21"/>
          <w:lang w:val="en-US" w:eastAsia="zh-CN" w:bidi="en-US"/>
        </w:rPr>
        <w:t>1.</w:t>
      </w:r>
      <w:r>
        <w:rPr>
          <w:rFonts w:hint="eastAsia" w:cs="Times New Roman"/>
          <w:kern w:val="0"/>
          <w:sz w:val="21"/>
          <w:szCs w:val="21"/>
          <w:lang w:val="en-US" w:eastAsia="zh-CN" w:bidi="en-US"/>
        </w:rPr>
        <w:t>代订票服务：包括但不限于动车高铁票、机票等。</w:t>
      </w:r>
    </w:p>
    <w:p>
      <w:pPr>
        <w:rPr>
          <w:rFonts w:hint="eastAsia" w:cs="Times New Roman"/>
          <w:kern w:val="0"/>
          <w:sz w:val="21"/>
          <w:szCs w:val="21"/>
          <w:lang w:val="en-US" w:eastAsia="zh-CN" w:bidi="en-US"/>
        </w:rPr>
      </w:pPr>
      <w:r>
        <w:rPr>
          <w:rFonts w:hint="eastAsia" w:cs="Times New Roman"/>
          <w:kern w:val="0"/>
          <w:sz w:val="21"/>
          <w:szCs w:val="21"/>
          <w:lang w:val="en-US" w:eastAsia="zh-CN" w:bidi="en-US"/>
        </w:rPr>
        <w:t>2.酒店安排：要求提供不少于4家接待酒店选择，大床房/标准间单价均价不超过500元/间，包括但不限于订房、分房、用餐、氛围及指示布置等服务。</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注：该部分仅报服务费，最高限价为2.5万元，凡投标报价超出最高投标限价均作否决投标处理。</w:t>
      </w:r>
    </w:p>
    <w:p>
      <w:pPr>
        <w:rPr>
          <w:rFonts w:hint="eastAsia" w:cs="Times New Roman"/>
          <w:b/>
          <w:bCs/>
          <w:kern w:val="0"/>
          <w:sz w:val="22"/>
          <w:szCs w:val="22"/>
          <w:lang w:val="en-US" w:eastAsia="zh-CN" w:bidi="en-US"/>
        </w:rPr>
      </w:pPr>
    </w:p>
    <w:p>
      <w:pPr>
        <w:pStyle w:val="2"/>
        <w:numPr>
          <w:ilvl w:val="0"/>
          <w:numId w:val="37"/>
        </w:numPr>
        <w:rPr>
          <w:rFonts w:hint="eastAsia" w:ascii="Calibri" w:hAnsi="Calibri" w:eastAsia="宋体" w:cs="Times New Roman"/>
          <w:b/>
          <w:bCs/>
          <w:kern w:val="0"/>
          <w:sz w:val="24"/>
          <w:szCs w:val="24"/>
          <w:lang w:val="en-US" w:eastAsia="zh-CN" w:bidi="en-US"/>
        </w:rPr>
      </w:pPr>
      <w:r>
        <w:rPr>
          <w:rFonts w:hint="eastAsia" w:ascii="Calibri" w:hAnsi="Calibri" w:eastAsia="宋体" w:cs="Times New Roman"/>
          <w:b/>
          <w:bCs/>
          <w:kern w:val="0"/>
          <w:sz w:val="24"/>
          <w:szCs w:val="24"/>
          <w:lang w:val="en-US" w:eastAsia="zh-CN" w:bidi="en-US"/>
        </w:rPr>
        <w:t>主持人</w:t>
      </w:r>
    </w:p>
    <w:p>
      <w:pPr>
        <w:numPr>
          <w:ilvl w:val="0"/>
          <w:numId w:val="38"/>
        </w:numPr>
        <w:rPr>
          <w:rFonts w:hint="eastAsia" w:cs="Times New Roman"/>
          <w:kern w:val="0"/>
          <w:sz w:val="21"/>
          <w:szCs w:val="21"/>
          <w:lang w:val="en-US" w:eastAsia="zh-CN" w:bidi="en-US"/>
        </w:rPr>
      </w:pPr>
      <w:r>
        <w:rPr>
          <w:rFonts w:hint="eastAsia" w:cs="Times New Roman"/>
          <w:kern w:val="0"/>
          <w:sz w:val="21"/>
          <w:szCs w:val="21"/>
          <w:lang w:val="en-US" w:eastAsia="zh-CN" w:bidi="en-US"/>
        </w:rPr>
        <w:t>主持人要求：展会期间7场会议+跨境晚宴的主持人聘请，须具备相关行业会议主持经验。</w:t>
      </w:r>
    </w:p>
    <w:p>
      <w:pPr>
        <w:pStyle w:val="2"/>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注：该部分最高限价为2.4万元，凡投标报价超出最高投标限价均作否决投标处理。</w:t>
      </w:r>
    </w:p>
    <w:p>
      <w:pPr>
        <w:rPr>
          <w:rFonts w:hint="eastAsia" w:cs="Times New Roman"/>
          <w:b/>
          <w:bCs/>
          <w:kern w:val="0"/>
          <w:sz w:val="22"/>
          <w:szCs w:val="22"/>
          <w:lang w:val="en-US" w:eastAsia="zh-CN" w:bidi="en-US"/>
        </w:rPr>
      </w:pPr>
    </w:p>
    <w:p>
      <w:pPr>
        <w:pStyle w:val="2"/>
        <w:numPr>
          <w:ilvl w:val="0"/>
          <w:numId w:val="37"/>
        </w:numPr>
        <w:rPr>
          <w:rFonts w:hint="eastAsia" w:ascii="Calibri" w:hAnsi="Calibri" w:eastAsia="宋体" w:cs="Times New Roman"/>
          <w:b/>
          <w:bCs/>
          <w:kern w:val="0"/>
          <w:sz w:val="24"/>
          <w:szCs w:val="24"/>
          <w:lang w:val="en-US" w:eastAsia="zh-CN" w:bidi="en-US"/>
        </w:rPr>
      </w:pPr>
      <w:r>
        <w:rPr>
          <w:rFonts w:hint="eastAsia" w:ascii="Calibri" w:hAnsi="Calibri" w:eastAsia="宋体" w:cs="Times New Roman"/>
          <w:b/>
          <w:bCs/>
          <w:kern w:val="0"/>
          <w:sz w:val="24"/>
          <w:szCs w:val="24"/>
          <w:lang w:val="en-US" w:eastAsia="zh-CN" w:bidi="en-US"/>
        </w:rPr>
        <w:t>安全监理及风险评估</w:t>
      </w:r>
    </w:p>
    <w:p>
      <w:pPr>
        <w:numPr>
          <w:ilvl w:val="0"/>
          <w:numId w:val="39"/>
        </w:numPr>
        <w:rPr>
          <w:rFonts w:hint="default" w:cs="Times New Roman"/>
          <w:kern w:val="0"/>
          <w:sz w:val="21"/>
          <w:szCs w:val="21"/>
          <w:lang w:val="en-US" w:eastAsia="zh-CN" w:bidi="en-US"/>
        </w:rPr>
      </w:pPr>
      <w:r>
        <w:rPr>
          <w:rFonts w:hint="eastAsia" w:cs="Times New Roman"/>
          <w:kern w:val="0"/>
          <w:sz w:val="21"/>
          <w:szCs w:val="21"/>
          <w:lang w:val="en-US" w:eastAsia="zh-CN" w:bidi="en-US"/>
        </w:rPr>
        <w:t>聘请具备相关资质的第三方安全监理公司，保障展会施工现场安全操作；聘请具备相关资质的风险评估机构，对展会出具风险评估报告。</w:t>
      </w:r>
    </w:p>
    <w:p>
      <w:pPr>
        <w:numPr>
          <w:ilvl w:val="0"/>
          <w:numId w:val="0"/>
        </w:numPr>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注：该部分最高限价为3万元，凡投标报价超出最高投标限价均作否决投标处理</w:t>
      </w:r>
    </w:p>
    <w:p>
      <w:pPr>
        <w:pStyle w:val="2"/>
        <w:rPr>
          <w:rFonts w:hint="eastAsia" w:cs="Times New Roman"/>
          <w:b/>
          <w:bCs/>
          <w:kern w:val="0"/>
          <w:sz w:val="22"/>
          <w:szCs w:val="22"/>
          <w:lang w:val="en-US" w:eastAsia="zh-CN" w:bidi="en-US"/>
        </w:rPr>
      </w:pPr>
    </w:p>
    <w:p>
      <w:pPr>
        <w:numPr>
          <w:ilvl w:val="0"/>
          <w:numId w:val="37"/>
        </w:numPr>
        <w:ind w:left="0" w:leftChars="0" w:firstLine="0" w:firstLineChars="0"/>
        <w:rPr>
          <w:rFonts w:hint="eastAsia" w:cs="Times New Roman"/>
          <w:b/>
          <w:bCs/>
          <w:kern w:val="0"/>
          <w:sz w:val="24"/>
          <w:szCs w:val="24"/>
          <w:lang w:val="en-US" w:eastAsia="zh-CN" w:bidi="en-US"/>
        </w:rPr>
      </w:pPr>
      <w:r>
        <w:rPr>
          <w:rFonts w:hint="eastAsia" w:cs="Times New Roman"/>
          <w:b/>
          <w:bCs/>
          <w:kern w:val="0"/>
          <w:sz w:val="24"/>
          <w:szCs w:val="24"/>
          <w:lang w:val="en-US" w:eastAsia="zh-CN" w:bidi="en-US"/>
        </w:rPr>
        <w:t>酒店报到处及指示牌</w:t>
      </w:r>
    </w:p>
    <w:p>
      <w:pPr>
        <w:pStyle w:val="2"/>
        <w:numPr>
          <w:ilvl w:val="0"/>
          <w:numId w:val="40"/>
        </w:numPr>
        <w:ind w:leftChars="0"/>
        <w:rPr>
          <w:rFonts w:hint="default" w:ascii="Calibri" w:hAnsi="Calibri" w:eastAsia="宋体" w:cs="Times New Roman"/>
          <w:kern w:val="0"/>
          <w:sz w:val="21"/>
          <w:szCs w:val="21"/>
          <w:lang w:val="en-US" w:eastAsia="zh-CN" w:bidi="en-US"/>
        </w:rPr>
      </w:pPr>
      <w:r>
        <w:rPr>
          <w:rFonts w:hint="eastAsia" w:cs="Times New Roman"/>
          <w:kern w:val="0"/>
          <w:sz w:val="21"/>
          <w:szCs w:val="21"/>
          <w:lang w:val="en-US" w:eastAsia="zh-CN" w:bidi="en-US"/>
        </w:rPr>
        <w:t>对4家接待酒店的报到处背景板及指示牌进行搭建。</w:t>
      </w:r>
    </w:p>
    <w:p>
      <w:pPr>
        <w:numPr>
          <w:ilvl w:val="0"/>
          <w:numId w:val="0"/>
        </w:numPr>
        <w:rPr>
          <w:rFonts w:hint="eastAsia" w:cs="Times New Roman"/>
          <w:b/>
          <w:bCs/>
          <w:kern w:val="0"/>
          <w:sz w:val="22"/>
          <w:szCs w:val="22"/>
          <w:lang w:val="en-US" w:eastAsia="zh-CN" w:bidi="en-US"/>
        </w:rPr>
      </w:pPr>
      <w:r>
        <w:rPr>
          <w:rFonts w:hint="eastAsia" w:cs="Times New Roman"/>
          <w:b/>
          <w:bCs/>
          <w:kern w:val="0"/>
          <w:sz w:val="22"/>
          <w:szCs w:val="22"/>
          <w:lang w:val="en-US" w:eastAsia="zh-CN" w:bidi="en-US"/>
        </w:rPr>
        <w:t>注：该部分最高限价为1万元，凡投标报价超出最高投标限价均作否决投标处理</w:t>
      </w:r>
    </w:p>
    <w:p>
      <w:pPr>
        <w:pStyle w:val="2"/>
        <w:rPr>
          <w:rFonts w:hint="eastAsia"/>
          <w:lang w:val="en-US" w:eastAsia="zh-CN"/>
        </w:rPr>
      </w:pPr>
    </w:p>
    <w:p>
      <w:pPr>
        <w:rPr>
          <w:rFonts w:hint="eastAsia" w:cs="Times New Roman"/>
          <w:b/>
          <w:bCs/>
          <w:kern w:val="0"/>
          <w:sz w:val="24"/>
          <w:szCs w:val="24"/>
          <w:lang w:val="en-US" w:eastAsia="zh-CN" w:bidi="en-US"/>
        </w:rPr>
      </w:pPr>
      <w:r>
        <w:rPr>
          <w:rFonts w:hint="eastAsia" w:cs="Times New Roman"/>
          <w:b/>
          <w:bCs/>
          <w:kern w:val="0"/>
          <w:sz w:val="24"/>
          <w:szCs w:val="24"/>
          <w:lang w:val="en-US" w:eastAsia="zh-CN" w:bidi="en-US"/>
        </w:rPr>
        <w:t>（十四）关于报价的说明</w:t>
      </w:r>
    </w:p>
    <w:p>
      <w:pPr>
        <w:numPr>
          <w:ilvl w:val="0"/>
          <w:numId w:val="0"/>
        </w:numPr>
        <w:ind w:leftChars="0"/>
        <w:rPr>
          <w:rFonts w:hint="eastAsia" w:cs="Times New Roman"/>
          <w:kern w:val="0"/>
          <w:sz w:val="21"/>
          <w:szCs w:val="21"/>
          <w:lang w:val="en-US" w:eastAsia="zh-CN" w:bidi="en-US"/>
        </w:rPr>
      </w:pPr>
      <w:r>
        <w:rPr>
          <w:rFonts w:hint="eastAsia" w:cs="Times New Roman"/>
          <w:kern w:val="0"/>
          <w:sz w:val="21"/>
          <w:szCs w:val="21"/>
          <w:lang w:val="en-US" w:eastAsia="zh-CN" w:bidi="en-US"/>
        </w:rPr>
        <w:t>1.招标文件中所列示的与报价相关的数量均为招标方根据跨境电商展规划进行预估，投标方应充分理解展览行业中实际执行数量可能与当前规划数量存在偏差的情况，最终结算金额将根据实际执行数量与明细单价计算。</w:t>
      </w:r>
    </w:p>
    <w:p>
      <w:pPr>
        <w:pStyle w:val="2"/>
        <w:rPr>
          <w:rFonts w:hint="default"/>
          <w:lang w:val="en-US" w:eastAsia="zh-CN"/>
        </w:rPr>
      </w:pPr>
    </w:p>
    <w:p>
      <w:pPr>
        <w:rPr>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keepNext/>
        <w:keepLines/>
        <w:numPr>
          <w:ilvl w:val="255"/>
          <w:numId w:val="0"/>
        </w:numPr>
        <w:tabs>
          <w:tab w:val="left" w:pos="2160"/>
        </w:tabs>
        <w:spacing w:before="340" w:after="330" w:line="360" w:lineRule="auto"/>
        <w:jc w:val="both"/>
        <w:outlineLvl w:val="0"/>
        <w:rPr>
          <w:rFonts w:ascii="宋体" w:hAnsi="宋体"/>
          <w:b/>
          <w:bCs/>
          <w:kern w:val="44"/>
          <w:sz w:val="44"/>
          <w:szCs w:val="36"/>
          <w:lang w:eastAsia="zh-CN" w:bidi="ar-SA"/>
        </w:rPr>
      </w:pPr>
      <w:bookmarkStart w:id="174" w:name="_Toc465350706"/>
      <w:bookmarkStart w:id="175" w:name="_Toc411245420"/>
    </w:p>
    <w:p>
      <w:pPr>
        <w:pStyle w:val="2"/>
        <w:rPr>
          <w:rFonts w:ascii="宋体" w:hAnsi="宋体"/>
          <w:b/>
          <w:bCs/>
          <w:kern w:val="44"/>
          <w:sz w:val="44"/>
          <w:szCs w:val="36"/>
          <w:lang w:eastAsia="zh-CN" w:bidi="ar-SA"/>
        </w:rPr>
      </w:pPr>
    </w:p>
    <w:p>
      <w:pPr>
        <w:rPr>
          <w:rFonts w:ascii="宋体" w:hAnsi="宋体"/>
          <w:b/>
          <w:bCs/>
          <w:kern w:val="44"/>
          <w:sz w:val="44"/>
          <w:szCs w:val="36"/>
          <w:lang w:eastAsia="zh-CN" w:bidi="ar-SA"/>
        </w:rPr>
      </w:pPr>
    </w:p>
    <w:p>
      <w:pPr>
        <w:pStyle w:val="2"/>
        <w:rPr>
          <w:rFonts w:ascii="宋体" w:hAnsi="宋体"/>
          <w:b/>
          <w:bCs/>
          <w:kern w:val="44"/>
          <w:sz w:val="44"/>
          <w:szCs w:val="36"/>
          <w:lang w:eastAsia="zh-CN" w:bidi="ar-SA"/>
        </w:rPr>
      </w:pPr>
    </w:p>
    <w:p>
      <w:pPr>
        <w:rPr>
          <w:rFonts w:ascii="宋体" w:hAnsi="宋体"/>
          <w:b/>
          <w:bCs/>
          <w:kern w:val="44"/>
          <w:sz w:val="44"/>
          <w:szCs w:val="36"/>
          <w:lang w:eastAsia="zh-CN" w:bidi="ar-SA"/>
        </w:rPr>
      </w:pPr>
    </w:p>
    <w:p>
      <w:pPr>
        <w:pStyle w:val="2"/>
        <w:rPr>
          <w:rFonts w:ascii="宋体" w:hAnsi="宋体"/>
          <w:b/>
          <w:bCs/>
          <w:kern w:val="44"/>
          <w:sz w:val="44"/>
          <w:szCs w:val="36"/>
          <w:lang w:eastAsia="zh-CN" w:bidi="ar-SA"/>
        </w:rPr>
      </w:pPr>
    </w:p>
    <w:p>
      <w:pPr>
        <w:rPr>
          <w:rFonts w:ascii="宋体" w:hAnsi="宋体"/>
          <w:b/>
          <w:bCs/>
          <w:kern w:val="44"/>
          <w:sz w:val="44"/>
          <w:szCs w:val="36"/>
          <w:lang w:eastAsia="zh-CN" w:bidi="ar-SA"/>
        </w:rPr>
      </w:pPr>
    </w:p>
    <w:p>
      <w:pPr>
        <w:pStyle w:val="2"/>
        <w:rPr>
          <w:rFonts w:ascii="宋体" w:hAnsi="宋体"/>
          <w:b/>
          <w:bCs/>
          <w:kern w:val="44"/>
          <w:sz w:val="44"/>
          <w:szCs w:val="36"/>
          <w:lang w:eastAsia="zh-CN" w:bidi="ar-SA"/>
        </w:rPr>
      </w:pPr>
    </w:p>
    <w:p>
      <w:pPr>
        <w:rPr>
          <w:rFonts w:ascii="宋体" w:hAnsi="宋体"/>
          <w:b/>
          <w:bCs/>
          <w:kern w:val="44"/>
          <w:sz w:val="44"/>
          <w:szCs w:val="36"/>
          <w:lang w:eastAsia="zh-CN" w:bidi="ar-SA"/>
        </w:rPr>
      </w:pPr>
    </w:p>
    <w:p>
      <w:pPr>
        <w:pStyle w:val="2"/>
        <w:rPr>
          <w:rFonts w:ascii="宋体" w:hAnsi="宋体"/>
          <w:b/>
          <w:bCs/>
          <w:kern w:val="44"/>
          <w:sz w:val="44"/>
          <w:szCs w:val="36"/>
          <w:lang w:eastAsia="zh-CN" w:bidi="ar-SA"/>
        </w:rPr>
      </w:pPr>
    </w:p>
    <w:p>
      <w:pPr>
        <w:rPr>
          <w:rFonts w:ascii="宋体" w:hAnsi="宋体"/>
          <w:b/>
          <w:bCs/>
          <w:kern w:val="44"/>
          <w:sz w:val="44"/>
          <w:szCs w:val="36"/>
          <w:lang w:eastAsia="zh-CN" w:bidi="ar-SA"/>
        </w:rPr>
      </w:pPr>
    </w:p>
    <w:p>
      <w:pPr>
        <w:keepNext/>
        <w:keepLines/>
        <w:numPr>
          <w:ilvl w:val="255"/>
          <w:numId w:val="0"/>
        </w:numPr>
        <w:tabs>
          <w:tab w:val="left" w:pos="2160"/>
        </w:tabs>
        <w:spacing w:before="340" w:after="330" w:line="360" w:lineRule="auto"/>
        <w:jc w:val="center"/>
        <w:outlineLvl w:val="0"/>
        <w:rPr>
          <w:rFonts w:asciiTheme="minorEastAsia" w:hAnsiTheme="minorEastAsia" w:eastAsiaTheme="minorEastAsia"/>
          <w:b/>
          <w:bCs/>
          <w:kern w:val="44"/>
          <w:lang w:eastAsia="zh-CN"/>
        </w:rPr>
      </w:pPr>
      <w:bookmarkStart w:id="176" w:name="_Toc7995"/>
      <w:r>
        <w:rPr>
          <w:rFonts w:hint="eastAsia" w:ascii="宋体" w:hAnsi="宋体"/>
          <w:b/>
          <w:bCs/>
          <w:kern w:val="44"/>
          <w:sz w:val="44"/>
          <w:szCs w:val="36"/>
          <w:lang w:eastAsia="zh-CN" w:bidi="ar-SA"/>
        </w:rPr>
        <w:t>第七章 附件（投标文件格式）</w:t>
      </w:r>
      <w:bookmarkEnd w:id="174"/>
      <w:bookmarkEnd w:id="176"/>
    </w:p>
    <w:bookmarkEnd w:id="175"/>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rPr>
          <w:rFonts w:asciiTheme="minorEastAsia" w:hAnsiTheme="minorEastAsia" w:eastAsiaTheme="minorEastAsia"/>
          <w:lang w:eastAsia="zh-CN"/>
        </w:rPr>
      </w:pPr>
    </w:p>
    <w:p>
      <w:pPr>
        <w:pStyle w:val="2"/>
        <w:rPr>
          <w:rFonts w:asciiTheme="minorEastAsia" w:hAnsiTheme="minorEastAsia" w:eastAsiaTheme="minorEastAsia"/>
          <w:lang w:eastAsia="zh-CN"/>
        </w:rPr>
      </w:pPr>
    </w:p>
    <w:p>
      <w:pPr>
        <w:rPr>
          <w:lang w:eastAsia="zh-CN"/>
        </w:rPr>
      </w:pP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cs="Arial" w:asciiTheme="minorEastAsia" w:hAnsiTheme="minorEastAsia" w:eastAsiaTheme="minorEastAsia"/>
          <w:b/>
          <w:bCs/>
          <w:w w:val="90"/>
          <w:lang w:eastAsia="zh-CN"/>
        </w:rPr>
      </w:pPr>
      <w:bookmarkStart w:id="177" w:name="_Toc47262062"/>
      <w:bookmarkStart w:id="178" w:name="_Toc324152527"/>
      <w:bookmarkStart w:id="179" w:name="_Toc47418248"/>
      <w:bookmarkStart w:id="180" w:name="_Toc47261683"/>
      <w:bookmarkStart w:id="181" w:name="_Toc47261878"/>
      <w:bookmarkStart w:id="182" w:name="_Toc236555304"/>
      <w:bookmarkStart w:id="183" w:name="_Toc48791228"/>
      <w:bookmarkStart w:id="184" w:name="_Toc47418724"/>
      <w:bookmarkStart w:id="185" w:name="_Toc99466914"/>
      <w:bookmarkStart w:id="186" w:name="_Toc47418931"/>
      <w:bookmarkStart w:id="187" w:name="_Toc49019229"/>
      <w:bookmarkStart w:id="188" w:name="_Toc48995844"/>
      <w:bookmarkStart w:id="189" w:name="_Toc411245421"/>
      <w:r>
        <w:rPr>
          <w:rFonts w:cs="Arial" w:asciiTheme="minorEastAsia" w:hAnsiTheme="minorEastAsia" w:eastAsiaTheme="minorEastAsia"/>
          <w:b/>
          <w:bCs/>
          <w:w w:val="90"/>
          <w:lang w:eastAsia="zh-CN"/>
        </w:rPr>
        <w:t>1</w:t>
      </w:r>
      <w:r>
        <w:rPr>
          <w:rFonts w:hint="eastAsia" w:cs="Arial" w:asciiTheme="minorEastAsia" w:hAnsiTheme="minorEastAsia" w:eastAsiaTheme="minorEastAsia"/>
          <w:b/>
          <w:bCs/>
          <w:w w:val="90"/>
          <w:lang w:eastAsia="zh-CN"/>
        </w:rPr>
        <w:t>、投标书格式</w:t>
      </w:r>
      <w:bookmarkEnd w:id="177"/>
      <w:bookmarkEnd w:id="178"/>
      <w:bookmarkEnd w:id="179"/>
      <w:bookmarkEnd w:id="180"/>
      <w:bookmarkEnd w:id="181"/>
      <w:bookmarkEnd w:id="182"/>
      <w:bookmarkEnd w:id="183"/>
      <w:bookmarkEnd w:id="184"/>
      <w:bookmarkEnd w:id="185"/>
      <w:bookmarkEnd w:id="186"/>
      <w:bookmarkEnd w:id="187"/>
      <w:bookmarkEnd w:id="188"/>
      <w:bookmarkEnd w:id="189"/>
    </w:p>
    <w:p>
      <w:pPr>
        <w:keepNext/>
        <w:keepLines/>
        <w:snapToGrid w:val="0"/>
        <w:spacing w:before="160" w:after="160"/>
        <w:jc w:val="center"/>
        <w:outlineLvl w:val="1"/>
        <w:rPr>
          <w:rFonts w:asciiTheme="minorEastAsia" w:hAnsiTheme="minorEastAsia" w:eastAsiaTheme="minorEastAsia"/>
          <w:b/>
          <w:bCs/>
          <w:lang w:eastAsia="zh-CN"/>
        </w:rPr>
      </w:pPr>
      <w:bookmarkStart w:id="190" w:name="_Toc15932"/>
      <w:bookmarkStart w:id="191" w:name="_Toc29228"/>
      <w:bookmarkStart w:id="192" w:name="_Toc465350707"/>
      <w:r>
        <w:rPr>
          <w:rFonts w:hint="eastAsia" w:asciiTheme="minorEastAsia" w:hAnsiTheme="minorEastAsia" w:eastAsiaTheme="minorEastAsia"/>
          <w:b/>
          <w:bCs/>
          <w:lang w:eastAsia="zh-CN"/>
        </w:rPr>
        <w:t>投标函</w:t>
      </w:r>
      <w:bookmarkEnd w:id="190"/>
      <w:bookmarkEnd w:id="191"/>
      <w:bookmarkEnd w:id="192"/>
    </w:p>
    <w:p>
      <w:pPr>
        <w:spacing w:line="360" w:lineRule="auto"/>
        <w:ind w:right="-233" w:rightChars="-106"/>
        <w:rPr>
          <w:rFonts w:asciiTheme="minorEastAsia" w:hAnsiTheme="minorEastAsia" w:eastAsiaTheme="minorEastAsia"/>
          <w:u w:val="single"/>
          <w:lang w:eastAsia="zh-CN"/>
        </w:rPr>
      </w:pPr>
      <w:r>
        <w:rPr>
          <w:rFonts w:hint="eastAsia" w:asciiTheme="minorEastAsia" w:hAnsiTheme="minorEastAsia" w:eastAsiaTheme="minorEastAsia"/>
          <w:u w:val="single"/>
          <w:lang w:eastAsia="zh-CN"/>
        </w:rPr>
        <w:t>致：</w:t>
      </w:r>
    </w:p>
    <w:p>
      <w:pPr>
        <w:spacing w:line="360" w:lineRule="auto"/>
        <w:ind w:right="-233" w:rightChars="-106" w:firstLine="435"/>
        <w:rPr>
          <w:rFonts w:asciiTheme="minorEastAsia" w:hAnsiTheme="minorEastAsia" w:eastAsiaTheme="minorEastAsia"/>
          <w:lang w:eastAsia="zh-CN"/>
        </w:rPr>
      </w:pPr>
      <w:r>
        <w:rPr>
          <w:rFonts w:hint="eastAsia" w:asciiTheme="minorEastAsia" w:hAnsiTheme="minorEastAsia" w:eastAsiaTheme="minorEastAsia"/>
          <w:lang w:eastAsia="zh-CN"/>
        </w:rPr>
        <w:t>根据贵方为</w:t>
      </w:r>
      <w:r>
        <w:rPr>
          <w:rFonts w:hint="eastAsia" w:asciiTheme="minorEastAsia" w:hAnsiTheme="minorEastAsia" w:eastAsiaTheme="minorEastAsia"/>
          <w:u w:val="single"/>
          <w:lang w:eastAsia="zh-CN"/>
        </w:rPr>
        <w:t>（      ）</w:t>
      </w:r>
      <w:r>
        <w:rPr>
          <w:rFonts w:hint="eastAsia" w:asciiTheme="minorEastAsia" w:hAnsiTheme="minorEastAsia" w:eastAsiaTheme="minorEastAsia"/>
          <w:lang w:eastAsia="zh-CN"/>
        </w:rPr>
        <w:t>招标采购投标邀请</w:t>
      </w:r>
      <w:r>
        <w:rPr>
          <w:rFonts w:hint="eastAsia" w:asciiTheme="minorEastAsia" w:hAnsiTheme="minorEastAsia" w:eastAsiaTheme="minorEastAsia"/>
          <w:u w:val="single"/>
          <w:lang w:eastAsia="zh-CN"/>
        </w:rPr>
        <w:t>（招标编号）</w:t>
      </w:r>
      <w:r>
        <w:rPr>
          <w:rFonts w:hint="eastAsia" w:asciiTheme="minorEastAsia" w:hAnsiTheme="minorEastAsia" w:eastAsiaTheme="minorEastAsia"/>
          <w:lang w:eastAsia="zh-CN"/>
        </w:rPr>
        <w:t>，签字代表</w:t>
      </w:r>
      <w:r>
        <w:rPr>
          <w:rFonts w:hint="eastAsia" w:asciiTheme="minorEastAsia" w:hAnsiTheme="minorEastAsia" w:eastAsiaTheme="minorEastAsia"/>
          <w:u w:val="single"/>
          <w:lang w:eastAsia="zh-CN"/>
        </w:rPr>
        <w:t>（姓名、职务）</w:t>
      </w:r>
      <w:r>
        <w:rPr>
          <w:rFonts w:hint="eastAsia" w:asciiTheme="minorEastAsia" w:hAnsiTheme="minorEastAsia" w:eastAsiaTheme="minorEastAsia"/>
          <w:lang w:eastAsia="zh-CN"/>
        </w:rPr>
        <w:t>经正式授权并代表投标人</w:t>
      </w:r>
      <w:r>
        <w:rPr>
          <w:rFonts w:hint="eastAsia" w:asciiTheme="minorEastAsia" w:hAnsiTheme="minorEastAsia" w:eastAsiaTheme="minorEastAsia"/>
          <w:u w:val="single"/>
          <w:lang w:eastAsia="zh-CN"/>
        </w:rPr>
        <w:t>（投标人名称、地址）</w:t>
      </w:r>
      <w:r>
        <w:rPr>
          <w:rFonts w:hint="eastAsia" w:asciiTheme="minorEastAsia" w:hAnsiTheme="minorEastAsia" w:eastAsiaTheme="minorEastAsia"/>
          <w:lang w:eastAsia="zh-CN"/>
        </w:rPr>
        <w:t>提交下述文件正本一份、副本</w:t>
      </w:r>
      <w:r>
        <w:rPr>
          <w:rFonts w:hint="eastAsia" w:asciiTheme="minorEastAsia" w:hAnsiTheme="minorEastAsia" w:eastAsiaTheme="minorEastAsia"/>
          <w:lang w:val="en-US" w:eastAsia="zh-CN"/>
        </w:rPr>
        <w:t>二</w:t>
      </w:r>
      <w:r>
        <w:rPr>
          <w:rFonts w:hint="eastAsia" w:asciiTheme="minorEastAsia" w:hAnsiTheme="minorEastAsia" w:eastAsiaTheme="minorEastAsia"/>
          <w:lang w:eastAsia="zh-CN"/>
        </w:rPr>
        <w:t>份。</w:t>
      </w:r>
    </w:p>
    <w:p>
      <w:pPr>
        <w:spacing w:line="360" w:lineRule="auto"/>
        <w:ind w:left="840" w:right="-233" w:rightChars="-106"/>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 xml:space="preserve"> 投标一览表（分项报价表）</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 按招标文件要求提供的有关文件</w:t>
      </w:r>
    </w:p>
    <w:p>
      <w:pPr>
        <w:spacing w:line="360" w:lineRule="auto"/>
        <w:ind w:left="840" w:right="-233" w:rightChars="-106"/>
        <w:rPr>
          <w:rFonts w:hint="default" w:asciiTheme="minorEastAsia" w:hAnsiTheme="minorEastAsia" w:eastAsiaTheme="minorEastAsia"/>
          <w:lang w:val="en-US" w:eastAsia="zh-CN"/>
        </w:rPr>
      </w:pPr>
      <w:r>
        <w:rPr>
          <w:rFonts w:hint="eastAsia" w:asciiTheme="minorEastAsia" w:hAnsiTheme="minorEastAsia" w:eastAsiaTheme="minorEastAsia"/>
          <w:lang w:eastAsia="zh-CN"/>
        </w:rPr>
        <w:t>3. 法定代表授权</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w:t>
      </w:r>
      <w:r>
        <w:rPr>
          <w:rFonts w:hint="eastAsia" w:asciiTheme="minorEastAsia" w:hAnsiTheme="minorEastAsia" w:eastAsiaTheme="minorEastAsia"/>
          <w:lang w:eastAsia="zh-CN"/>
        </w:rPr>
        <w:t xml:space="preserve"> 资格证明文件</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5. 投标人基本情况信息表</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6. 业绩证明文件</w:t>
      </w:r>
    </w:p>
    <w:p>
      <w:pPr>
        <w:spacing w:line="360" w:lineRule="auto"/>
        <w:ind w:left="840" w:right="-233" w:rightChars="-106"/>
        <w:rPr>
          <w:rFonts w:asciiTheme="minorEastAsia" w:hAnsiTheme="minorEastAsia" w:eastAsiaTheme="minorEastAsia"/>
          <w:lang w:eastAsia="zh-CN"/>
        </w:rPr>
      </w:pPr>
      <w:r>
        <w:rPr>
          <w:rFonts w:hint="eastAsia" w:asciiTheme="minorEastAsia" w:hAnsiTheme="minorEastAsia" w:eastAsiaTheme="minorEastAsia"/>
          <w:lang w:eastAsia="zh-CN"/>
        </w:rPr>
        <w:t>7. 售后服务承诺书</w:t>
      </w:r>
    </w:p>
    <w:p>
      <w:pPr>
        <w:spacing w:line="360" w:lineRule="auto"/>
        <w:ind w:right="-233" w:rightChars="-106" w:firstLine="770" w:firstLineChars="350"/>
        <w:rPr>
          <w:rFonts w:asciiTheme="minorEastAsia" w:hAnsiTheme="minorEastAsia" w:eastAsiaTheme="minorEastAsia"/>
          <w:lang w:eastAsia="zh-CN"/>
        </w:rPr>
      </w:pPr>
      <w:r>
        <w:rPr>
          <w:rFonts w:hint="eastAsia" w:asciiTheme="minorEastAsia" w:hAnsiTheme="minorEastAsia" w:eastAsiaTheme="minorEastAsia"/>
          <w:lang w:eastAsia="zh-CN"/>
        </w:rPr>
        <w:t>在此，签字代表宣布同意如下：</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所附投标价格表中规定的应提交和交付的服务投标总价为，</w:t>
      </w:r>
      <w:r>
        <w:rPr>
          <w:rFonts w:hint="eastAsia" w:asciiTheme="minorEastAsia" w:hAnsiTheme="minorEastAsia" w:eastAsiaTheme="minorEastAsia"/>
          <w:u w:val="single"/>
          <w:lang w:eastAsia="zh-CN"/>
        </w:rPr>
        <w:t>人民币金额数，（并同时用文字和数字表示的投标总价）</w:t>
      </w:r>
      <w:r>
        <w:rPr>
          <w:rFonts w:hint="eastAsia" w:asciiTheme="minorEastAsia" w:hAnsiTheme="minorEastAsia" w:eastAsiaTheme="minorEastAsia"/>
          <w:lang w:eastAsia="zh-CN"/>
        </w:rPr>
        <w:t>。</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投标人将按招标文件的规定履行合同责任和义务。</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投标人已详细审查全部招标文件。我们完全理解并同意放弃对这方面有不明及误解的权力。</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本投标有效期为自开标日起</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val="en-US" w:eastAsia="zh-CN"/>
        </w:rPr>
        <w:t>90</w:t>
      </w:r>
      <w:r>
        <w:rPr>
          <w:rFonts w:asciiTheme="minorEastAsia" w:hAnsiTheme="minorEastAsia" w:eastAsiaTheme="minorEastAsia"/>
          <w:u w:val="single"/>
          <w:lang w:eastAsia="zh-CN"/>
        </w:rPr>
        <w:t xml:space="preserve"> </w:t>
      </w:r>
      <w:r>
        <w:rPr>
          <w:rFonts w:hint="eastAsia" w:asciiTheme="minorEastAsia" w:hAnsiTheme="minorEastAsia" w:eastAsiaTheme="minorEastAsia"/>
          <w:lang w:eastAsia="zh-CN"/>
        </w:rPr>
        <w:t>个日历日。</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如果在规定的开标时间后，投标人在投标有效期内撤回投标，其投标保证金将被贵方没收。</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根据投标人须知规定，我方承诺，与买方聘请的为此项目提供咨询服务的公司及任何附属机构均无关联，我方不是买方的附属机构。</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7.</w:t>
      </w:r>
      <w:r>
        <w:rPr>
          <w:rFonts w:hint="eastAsia" w:asciiTheme="minorEastAsia" w:hAnsiTheme="minorEastAsia" w:eastAsiaTheme="minorEastAsia"/>
          <w:lang w:eastAsia="zh-CN"/>
        </w:rPr>
        <w:t>投标人同意提供按照贵方可能要求的与其投标有关的一切数据或资料，完全理解贵方不一定接受最低投标报价的投标或收到的任何投标。</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8.</w:t>
      </w:r>
      <w:r>
        <w:rPr>
          <w:rFonts w:hint="eastAsia" w:asciiTheme="minorEastAsia" w:hAnsiTheme="minorEastAsia" w:eastAsiaTheme="minorEastAsia"/>
          <w:lang w:eastAsia="zh-CN"/>
        </w:rPr>
        <w:t>若我方获得中标，我方保证按</w:t>
      </w:r>
      <w:r>
        <w:rPr>
          <w:rFonts w:hint="eastAsia" w:asciiTheme="minorEastAsia" w:hAnsiTheme="minorEastAsia" w:eastAsiaTheme="minorEastAsia"/>
          <w:lang w:val="en-US" w:eastAsia="zh-CN"/>
        </w:rPr>
        <w:t>照标书要求提供相应服务</w:t>
      </w:r>
      <w:r>
        <w:rPr>
          <w:rFonts w:hint="eastAsia" w:asciiTheme="minorEastAsia" w:hAnsiTheme="minorEastAsia" w:eastAsiaTheme="minorEastAsia"/>
          <w:lang w:eastAsia="zh-CN"/>
        </w:rPr>
        <w:t>。</w:t>
      </w:r>
    </w:p>
    <w:p>
      <w:pPr>
        <w:spacing w:line="360" w:lineRule="auto"/>
        <w:ind w:left="420" w:right="-233" w:rightChars="-106"/>
        <w:rPr>
          <w:rFonts w:asciiTheme="minorEastAsia" w:hAnsiTheme="minorEastAsia" w:eastAsiaTheme="minorEastAsia"/>
          <w:lang w:eastAsia="zh-CN"/>
        </w:rPr>
      </w:pPr>
      <w:r>
        <w:rPr>
          <w:rFonts w:asciiTheme="minorEastAsia" w:hAnsiTheme="minorEastAsia" w:eastAsiaTheme="minorEastAsia"/>
          <w:lang w:eastAsia="zh-CN"/>
        </w:rPr>
        <w:t>9.</w:t>
      </w:r>
      <w:r>
        <w:rPr>
          <w:rFonts w:hint="eastAsia" w:asciiTheme="minorEastAsia" w:hAnsiTheme="minorEastAsia" w:eastAsiaTheme="minorEastAsia"/>
          <w:lang w:eastAsia="zh-CN"/>
        </w:rPr>
        <w:t>与本投标有关的一切正式往来信函请寄：</w:t>
      </w:r>
    </w:p>
    <w:tbl>
      <w:tblPr>
        <w:tblStyle w:val="37"/>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nil"/>
              <w:left w:val="nil"/>
              <w:bottom w:val="nil"/>
              <w:right w:val="nil"/>
            </w:tcBorders>
          </w:tcPr>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地址</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电话</w:t>
            </w:r>
          </w:p>
        </w:tc>
        <w:tc>
          <w:tcPr>
            <w:tcW w:w="4261" w:type="dxa"/>
            <w:tcBorders>
              <w:top w:val="nil"/>
              <w:left w:val="nil"/>
              <w:bottom w:val="nil"/>
              <w:right w:val="nil"/>
            </w:tcBorders>
          </w:tcPr>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传真</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电子邮件</w:t>
            </w:r>
          </w:p>
        </w:tc>
      </w:tr>
    </w:tbl>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投标人代表签字</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投标人名称</w:t>
      </w:r>
    </w:p>
    <w:p>
      <w:pPr>
        <w:spacing w:line="360" w:lineRule="auto"/>
        <w:ind w:right="-233" w:rightChars="-106"/>
        <w:rPr>
          <w:rFonts w:asciiTheme="minorEastAsia" w:hAnsiTheme="minorEastAsia" w:eastAsiaTheme="minorEastAsia"/>
        </w:rPr>
      </w:pPr>
      <w:r>
        <w:rPr>
          <w:rFonts w:hint="eastAsia" w:asciiTheme="minorEastAsia" w:hAnsiTheme="minorEastAsia" w:eastAsiaTheme="minorEastAsia"/>
        </w:rPr>
        <w:t>投标人公章</w:t>
      </w:r>
    </w:p>
    <w:p>
      <w:pPr>
        <w:spacing w:line="360" w:lineRule="auto"/>
        <w:rPr>
          <w:rFonts w:asciiTheme="minorEastAsia" w:hAnsiTheme="minorEastAsia" w:eastAsiaTheme="minorEastAsia"/>
          <w:u w:val="single"/>
        </w:rPr>
      </w:pPr>
      <w:r>
        <w:rPr>
          <w:rFonts w:hint="eastAsia" w:asciiTheme="minorEastAsia" w:hAnsiTheme="minorEastAsia" w:eastAsiaTheme="minorEastAsia"/>
        </w:rPr>
        <w:t>日期</w:t>
      </w:r>
    </w:p>
    <w:p>
      <w:pPr>
        <w:spacing w:line="360" w:lineRule="auto"/>
        <w:rPr>
          <w:rFonts w:asciiTheme="minorEastAsia" w:hAnsiTheme="minorEastAsia" w:eastAsiaTheme="minorEastAsia"/>
        </w:rPr>
      </w:pPr>
      <w:r>
        <w:rPr>
          <w:rFonts w:asciiTheme="minorEastAsia" w:hAnsiTheme="minorEastAsia" w:eastAsiaTheme="minorEastAsia"/>
          <w:u w:val="single"/>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193" w:name="_Toc48791229"/>
      <w:bookmarkStart w:id="194" w:name="_Toc236555305"/>
      <w:bookmarkStart w:id="195" w:name="_Toc48995845"/>
      <w:bookmarkStart w:id="196" w:name="_Toc47418725"/>
      <w:bookmarkStart w:id="197" w:name="_Toc465350708"/>
      <w:bookmarkStart w:id="198" w:name="_Toc47418249"/>
      <w:bookmarkStart w:id="199" w:name="_Toc411245422"/>
      <w:bookmarkStart w:id="200" w:name="_Toc324152528"/>
      <w:bookmarkStart w:id="201" w:name="_Toc47262063"/>
      <w:bookmarkStart w:id="202" w:name="_Toc47418932"/>
      <w:bookmarkStart w:id="203" w:name="_Toc47261879"/>
      <w:bookmarkStart w:id="204" w:name="_Toc99466915"/>
      <w:bookmarkStart w:id="205" w:name="_Toc47261684"/>
      <w:bookmarkStart w:id="206" w:name="_Toc2397"/>
      <w:bookmarkStart w:id="207" w:name="_Toc49019230"/>
      <w:r>
        <w:rPr>
          <w:rFonts w:cs="Arial" w:asciiTheme="minorEastAsia" w:hAnsiTheme="minorEastAsia" w:eastAsiaTheme="minorEastAsia"/>
          <w:b/>
          <w:bCs/>
          <w:w w:val="90"/>
          <w:lang w:eastAsia="zh-CN"/>
        </w:rPr>
        <w:t>2</w:t>
      </w:r>
      <w:r>
        <w:rPr>
          <w:rFonts w:hint="eastAsia" w:cs="Arial" w:asciiTheme="minorEastAsia" w:hAnsiTheme="minorEastAsia" w:eastAsiaTheme="minorEastAsia"/>
          <w:b/>
          <w:bCs/>
          <w:w w:val="90"/>
          <w:lang w:eastAsia="zh-CN"/>
        </w:rPr>
        <w:t>、投标一览表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61"/>
        <w:spacing w:line="360" w:lineRule="auto"/>
        <w:rPr>
          <w:rFonts w:cs="宋体" w:asciiTheme="minorEastAsia" w:hAnsiTheme="minorEastAsia" w:eastAsiaTheme="minorEastAsia"/>
          <w:color w:val="000000"/>
          <w:sz w:val="22"/>
        </w:rPr>
      </w:pPr>
      <w:r>
        <w:rPr>
          <w:rFonts w:hint="eastAsia" w:cs="宋体" w:asciiTheme="minorEastAsia" w:hAnsiTheme="minorEastAsia" w:eastAsiaTheme="minorEastAsia"/>
          <w:color w:val="000000"/>
          <w:sz w:val="22"/>
        </w:rPr>
        <w:t>招标编号：</w:t>
      </w:r>
    </w:p>
    <w:p>
      <w:pPr>
        <w:jc w:val="right"/>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按项目列示总价</w:t>
      </w:r>
    </w:p>
    <w:tbl>
      <w:tblPr>
        <w:tblStyle w:val="38"/>
        <w:tblpPr w:leftFromText="180" w:rightFromText="180" w:vertAnchor="text" w:horzAnchor="margin" w:tblpY="169"/>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168"/>
        <w:gridCol w:w="1713"/>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编号</w:t>
            </w:r>
          </w:p>
        </w:tc>
        <w:tc>
          <w:tcPr>
            <w:tcW w:w="316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项目</w:t>
            </w:r>
          </w:p>
        </w:tc>
        <w:tc>
          <w:tcPr>
            <w:tcW w:w="1713" w:type="dxa"/>
            <w:vAlign w:val="center"/>
          </w:tcPr>
          <w:p>
            <w:pPr>
              <w:jc w:val="center"/>
              <w:rPr>
                <w:rFonts w:cs="宋体" w:asciiTheme="minorEastAsia" w:hAnsiTheme="minorEastAsia" w:eastAsiaTheme="minorEastAsia"/>
                <w:lang w:eastAsia="zh-CN"/>
              </w:rPr>
            </w:pPr>
            <w:r>
              <w:rPr>
                <w:rFonts w:hint="eastAsia" w:cs="宋体" w:asciiTheme="minorEastAsia" w:hAnsiTheme="minorEastAsia" w:eastAsiaTheme="minorEastAsia"/>
                <w:lang w:eastAsia="zh-CN"/>
              </w:rPr>
              <w:t>单价（元）</w:t>
            </w:r>
          </w:p>
        </w:tc>
        <w:tc>
          <w:tcPr>
            <w:tcW w:w="1714" w:type="dxa"/>
            <w:vAlign w:val="center"/>
          </w:tcPr>
          <w:p>
            <w:pPr>
              <w:jc w:val="center"/>
              <w:rPr>
                <w:rFonts w:cs="宋体" w:asciiTheme="minorEastAsia" w:hAnsiTheme="minorEastAsia" w:eastAsiaTheme="minorEastAsia"/>
                <w:lang w:eastAsia="zh-CN"/>
              </w:rPr>
            </w:pPr>
            <w:r>
              <w:rPr>
                <w:rFonts w:hint="eastAsia" w:cs="宋体" w:asciiTheme="minorEastAsia" w:hAnsiTheme="minorEastAsia" w:eastAsiaTheme="minorEastAsia"/>
                <w:lang w:val="en-US" w:eastAsia="zh-CN"/>
              </w:rPr>
              <w:t>数量</w:t>
            </w:r>
          </w:p>
        </w:tc>
        <w:tc>
          <w:tcPr>
            <w:tcW w:w="171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5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1</w:t>
            </w:r>
          </w:p>
        </w:tc>
        <w:tc>
          <w:tcPr>
            <w:tcW w:w="3168" w:type="dxa"/>
            <w:vAlign w:val="center"/>
          </w:tcPr>
          <w:p>
            <w:pPr>
              <w:jc w:val="both"/>
              <w:rPr>
                <w:rFonts w:cs="宋体" w:asciiTheme="minorEastAsia" w:hAnsiTheme="minorEastAsia" w:eastAsiaTheme="minorEastAsia"/>
                <w:lang w:eastAsia="zh-CN"/>
              </w:rPr>
            </w:pPr>
            <w:r>
              <w:rPr>
                <w:rFonts w:hint="eastAsia" w:asciiTheme="minorEastAsia" w:hAnsiTheme="minorEastAsia" w:eastAsiaTheme="minorEastAsia"/>
                <w:lang w:eastAsia="zh-CN"/>
              </w:rPr>
              <w:t>2023中国（厦门）国际跨境电商展览会</w:t>
            </w:r>
            <w:r>
              <w:rPr>
                <w:rFonts w:hint="eastAsia" w:asciiTheme="minorEastAsia" w:hAnsiTheme="minorEastAsia" w:eastAsiaTheme="minorEastAsia"/>
                <w:lang w:val="en-US" w:eastAsia="zh-CN"/>
              </w:rPr>
              <w:t>综合运营</w:t>
            </w:r>
            <w:r>
              <w:rPr>
                <w:rFonts w:hint="eastAsia" w:asciiTheme="minorEastAsia" w:hAnsiTheme="minorEastAsia" w:eastAsiaTheme="minorEastAsia"/>
                <w:lang w:eastAsia="zh-CN"/>
              </w:rPr>
              <w:t>服务</w:t>
            </w:r>
          </w:p>
        </w:tc>
        <w:tc>
          <w:tcPr>
            <w:tcW w:w="1713" w:type="dxa"/>
            <w:vAlign w:val="center"/>
          </w:tcPr>
          <w:p>
            <w:pPr>
              <w:jc w:val="center"/>
              <w:rPr>
                <w:rFonts w:cs="宋体" w:asciiTheme="minorEastAsia" w:hAnsiTheme="minorEastAsia" w:eastAsiaTheme="minorEastAsia"/>
                <w:lang w:eastAsia="zh-CN"/>
              </w:rPr>
            </w:pPr>
          </w:p>
        </w:tc>
        <w:tc>
          <w:tcPr>
            <w:tcW w:w="1714" w:type="dxa"/>
            <w:vAlign w:val="center"/>
          </w:tcPr>
          <w:p>
            <w:pPr>
              <w:jc w:val="center"/>
              <w:rPr>
                <w:rFonts w:cs="宋体" w:asciiTheme="minorEastAsia" w:hAnsiTheme="minorEastAsia" w:eastAsiaTheme="minorEastAsia"/>
                <w:lang w:eastAsia="zh-CN"/>
              </w:rPr>
            </w:pPr>
          </w:p>
        </w:tc>
        <w:tc>
          <w:tcPr>
            <w:tcW w:w="1714" w:type="dxa"/>
            <w:vAlign w:val="center"/>
          </w:tcPr>
          <w:p>
            <w:pPr>
              <w:jc w:val="center"/>
              <w:rPr>
                <w:rFonts w:cs="宋体"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51" w:type="dxa"/>
            <w:vAlign w:val="center"/>
          </w:tcPr>
          <w:p>
            <w:pPr>
              <w:rPr>
                <w:rFonts w:cs="宋体" w:asciiTheme="minorEastAsia" w:hAnsiTheme="minorEastAsia" w:eastAsiaTheme="minorEastAsia"/>
              </w:rPr>
            </w:pPr>
          </w:p>
        </w:tc>
        <w:tc>
          <w:tcPr>
            <w:tcW w:w="3168" w:type="dxa"/>
            <w:vAlign w:val="center"/>
          </w:tcPr>
          <w:p>
            <w:pPr>
              <w:rPr>
                <w:rFonts w:cs="宋体" w:asciiTheme="minorEastAsia" w:hAnsiTheme="minorEastAsia" w:eastAsiaTheme="minorEastAsia"/>
              </w:rPr>
            </w:pPr>
            <w:r>
              <w:rPr>
                <w:rFonts w:hint="eastAsia" w:cs="宋体" w:asciiTheme="minorEastAsia" w:hAnsiTheme="minorEastAsia" w:eastAsiaTheme="minorEastAsia"/>
              </w:rPr>
              <w:t>合计</w:t>
            </w:r>
          </w:p>
        </w:tc>
        <w:tc>
          <w:tcPr>
            <w:tcW w:w="1713" w:type="dxa"/>
            <w:vAlign w:val="center"/>
          </w:tcPr>
          <w:p>
            <w:pPr>
              <w:rPr>
                <w:rFonts w:cs="宋体" w:asciiTheme="minorEastAsia" w:hAnsiTheme="minorEastAsia" w:eastAsiaTheme="minorEastAsia"/>
              </w:rPr>
            </w:pPr>
          </w:p>
        </w:tc>
        <w:tc>
          <w:tcPr>
            <w:tcW w:w="1714" w:type="dxa"/>
            <w:vAlign w:val="center"/>
          </w:tcPr>
          <w:p>
            <w:pPr>
              <w:rPr>
                <w:rFonts w:cs="宋体" w:asciiTheme="minorEastAsia" w:hAnsiTheme="minorEastAsia" w:eastAsiaTheme="minorEastAsia"/>
              </w:rPr>
            </w:pPr>
          </w:p>
        </w:tc>
        <w:tc>
          <w:tcPr>
            <w:tcW w:w="1714" w:type="dxa"/>
            <w:vAlign w:val="center"/>
          </w:tcPr>
          <w:p>
            <w:pPr>
              <w:rPr>
                <w:rFonts w:cs="宋体" w:asciiTheme="minorEastAsia" w:hAnsiTheme="minorEastAsia" w:eastAsiaTheme="minorEastAsia"/>
              </w:rPr>
            </w:pPr>
          </w:p>
        </w:tc>
      </w:tr>
    </w:tbl>
    <w:p>
      <w:pPr>
        <w:pStyle w:val="388"/>
        <w:adjustRightInd/>
        <w:snapToGrid/>
        <w:spacing w:after="0"/>
        <w:rPr>
          <w:rFonts w:cs="宋体" w:asciiTheme="minorEastAsia" w:hAnsiTheme="minorEastAsia" w:eastAsiaTheme="minorEastAsia"/>
          <w:color w:val="000000"/>
          <w:sz w:val="22"/>
          <w:szCs w:val="22"/>
          <w:lang w:eastAsia="zh-CN"/>
        </w:rPr>
      </w:pPr>
      <w:r>
        <w:rPr>
          <w:rFonts w:hint="eastAsia" w:cs="宋体" w:asciiTheme="minorEastAsia" w:hAnsiTheme="minorEastAsia" w:eastAsiaTheme="minorEastAsia"/>
          <w:sz w:val="22"/>
          <w:szCs w:val="22"/>
          <w:lang w:eastAsia="zh-CN"/>
        </w:rPr>
        <w:t xml:space="preserve">  注：1、以上报价为包含全部服务项目所需管理系统、设备、人员等全部服务的含税最终报价，货币单位为：人民币元。</w:t>
      </w:r>
    </w:p>
    <w:p>
      <w:pPr>
        <w:pStyle w:val="388"/>
        <w:adjustRightInd/>
        <w:snapToGrid/>
        <w:spacing w:after="0"/>
        <w:rPr>
          <w:rFonts w:cs="宋体" w:asciiTheme="minorEastAsia" w:hAnsiTheme="minorEastAsia" w:eastAsiaTheme="minorEastAsia"/>
          <w:color w:val="000000"/>
          <w:sz w:val="22"/>
          <w:szCs w:val="22"/>
          <w:lang w:eastAsia="zh-CN"/>
        </w:rPr>
      </w:pPr>
      <w:r>
        <w:rPr>
          <w:rFonts w:hint="eastAsia" w:cs="宋体" w:asciiTheme="minorEastAsia" w:hAnsiTheme="minorEastAsia" w:eastAsiaTheme="minorEastAsia"/>
          <w:color w:val="000000"/>
          <w:sz w:val="22"/>
          <w:szCs w:val="22"/>
          <w:lang w:eastAsia="zh-CN"/>
        </w:rPr>
        <w:t xml:space="preserve">      2、此表应按投标人须知的规定密封、标记并单独提交，以便在开标时使用。</w:t>
      </w:r>
    </w:p>
    <w:p>
      <w:pPr>
        <w:ind w:firstLine="660" w:firstLineChars="3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、若</w:t>
      </w:r>
      <w:r>
        <w:rPr>
          <w:rFonts w:hint="eastAsia"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年中国</w:t>
      </w:r>
      <w:r>
        <w:rPr>
          <w:rFonts w:hint="eastAsia" w:asciiTheme="minorEastAsia" w:hAnsiTheme="minorEastAsia" w:eastAsiaTheme="minorEastAsia"/>
          <w:lang w:val="en-US" w:eastAsia="zh-CN"/>
        </w:rPr>
        <w:t>(厦门）国际跨境电商展览会综合运营</w:t>
      </w:r>
      <w:r>
        <w:rPr>
          <w:rFonts w:hint="eastAsia" w:asciiTheme="minorEastAsia" w:hAnsiTheme="minorEastAsia" w:eastAsiaTheme="minorEastAsia"/>
          <w:lang w:eastAsia="zh-CN"/>
        </w:rPr>
        <w:t>服务</w:t>
      </w:r>
      <w:r>
        <w:rPr>
          <w:rFonts w:hint="eastAsia" w:asciiTheme="minorEastAsia" w:hAnsiTheme="minorEastAsia" w:eastAsiaTheme="minorEastAsia"/>
          <w:lang w:val="en-US" w:eastAsia="zh-CN"/>
        </w:rPr>
        <w:t>项目</w:t>
      </w:r>
      <w:r>
        <w:rPr>
          <w:rFonts w:hint="eastAsia" w:asciiTheme="minorEastAsia" w:hAnsiTheme="minorEastAsia" w:eastAsiaTheme="minorEastAsia" w:cstheme="minorEastAsia"/>
          <w:lang w:eastAsia="zh-CN"/>
        </w:rPr>
        <w:t>报价明细中未报价的部分，以招标方与中标方商谈为准，其价格不应超过展览所在地市场价格水平;如若超过当地价格水平,主办方有权另行寻找服务方。</w:t>
      </w:r>
    </w:p>
    <w:p>
      <w:pPr>
        <w:pStyle w:val="388"/>
        <w:adjustRightInd/>
        <w:snapToGrid/>
        <w:spacing w:after="0"/>
        <w:rPr>
          <w:rFonts w:cs="宋体" w:asciiTheme="minorEastAsia" w:hAnsiTheme="minorEastAsia" w:eastAsiaTheme="minorEastAsia"/>
          <w:sz w:val="22"/>
          <w:szCs w:val="22"/>
          <w:lang w:eastAsia="zh-CN"/>
        </w:rPr>
      </w:pPr>
    </w:p>
    <w:p>
      <w:pPr>
        <w:pStyle w:val="388"/>
        <w:adjustRightInd/>
        <w:snapToGrid/>
        <w:spacing w:after="0"/>
        <w:rPr>
          <w:rFonts w:cs="宋体" w:asciiTheme="minorEastAsia" w:hAnsiTheme="minorEastAsia" w:eastAsiaTheme="minorEastAsia"/>
          <w:color w:val="000000"/>
          <w:sz w:val="22"/>
          <w:szCs w:val="22"/>
          <w:u w:val="single"/>
          <w:lang w:eastAsia="zh-CN"/>
        </w:rPr>
      </w:pPr>
      <w:r>
        <w:rPr>
          <w:rFonts w:hint="eastAsia" w:cs="宋体" w:asciiTheme="minorEastAsia" w:hAnsiTheme="minorEastAsia" w:eastAsiaTheme="minorEastAsia"/>
          <w:color w:val="000000"/>
          <w:sz w:val="22"/>
          <w:szCs w:val="22"/>
          <w:lang w:eastAsia="zh-CN"/>
        </w:rPr>
        <w:t>投标人名称：</w:t>
      </w:r>
      <w:r>
        <w:rPr>
          <w:rFonts w:hint="eastAsia" w:cs="宋体" w:asciiTheme="minorEastAsia" w:hAnsiTheme="minorEastAsia" w:eastAsiaTheme="minorEastAsia"/>
          <w:color w:val="000000"/>
          <w:sz w:val="22"/>
          <w:szCs w:val="22"/>
          <w:u w:val="single"/>
          <w:lang w:eastAsia="zh-CN"/>
        </w:rPr>
        <w:t xml:space="preserve">        公章         </w:t>
      </w:r>
    </w:p>
    <w:p>
      <w:pPr>
        <w:spacing w:line="360" w:lineRule="auto"/>
        <w:rPr>
          <w:rFonts w:cs="宋体" w:asciiTheme="minorEastAsia" w:hAnsiTheme="minorEastAsia" w:eastAsiaTheme="minorEastAsia"/>
          <w:color w:val="000000"/>
          <w:u w:val="single"/>
          <w:lang w:eastAsia="zh-CN"/>
        </w:rPr>
      </w:pPr>
      <w:r>
        <w:rPr>
          <w:rFonts w:hint="eastAsia" w:cs="宋体" w:asciiTheme="minorEastAsia" w:hAnsiTheme="minorEastAsia" w:eastAsiaTheme="minorEastAsia"/>
          <w:color w:val="000000"/>
          <w:lang w:eastAsia="zh-CN"/>
        </w:rPr>
        <w:t>授权代表：</w:t>
      </w:r>
      <w:r>
        <w:rPr>
          <w:rFonts w:hint="eastAsia" w:cs="宋体" w:asciiTheme="minorEastAsia" w:hAnsiTheme="minorEastAsia" w:eastAsiaTheme="minorEastAsia"/>
          <w:color w:val="000000"/>
          <w:u w:val="single"/>
          <w:lang w:eastAsia="zh-CN"/>
        </w:rPr>
        <w:t xml:space="preserve">     签字             </w:t>
      </w:r>
    </w:p>
    <w:p>
      <w:pPr>
        <w:pStyle w:val="388"/>
        <w:adjustRightInd/>
        <w:snapToGrid/>
        <w:spacing w:after="0"/>
        <w:rPr>
          <w:rFonts w:cs="宋体" w:asciiTheme="minorEastAsia" w:hAnsiTheme="minorEastAsia" w:eastAsiaTheme="minorEastAsia"/>
          <w:color w:val="000000"/>
          <w:sz w:val="22"/>
          <w:szCs w:val="22"/>
          <w:u w:val="single"/>
          <w:lang w:eastAsia="zh-CN"/>
        </w:rPr>
      </w:pPr>
      <w:r>
        <w:rPr>
          <w:rFonts w:hint="eastAsia" w:cs="宋体" w:asciiTheme="minorEastAsia" w:hAnsiTheme="minorEastAsia" w:eastAsiaTheme="minorEastAsia"/>
          <w:color w:val="000000"/>
          <w:sz w:val="22"/>
          <w:szCs w:val="22"/>
          <w:lang w:eastAsia="zh-CN"/>
        </w:rPr>
        <w:t>日期 ：</w:t>
      </w:r>
    </w:p>
    <w:p>
      <w:pPr>
        <w:ind w:right="420"/>
        <w:rPr>
          <w:rFonts w:cs="宋体" w:asciiTheme="minorEastAsia" w:hAnsiTheme="minorEastAsia" w:eastAsiaTheme="minorEastAsia"/>
          <w:lang w:eastAsia="zh-CN"/>
        </w:rPr>
      </w:pPr>
    </w:p>
    <w:p>
      <w:pPr>
        <w:ind w:right="420"/>
        <w:rPr>
          <w:rFonts w:cs="宋体" w:asciiTheme="minorEastAsia" w:hAnsiTheme="minorEastAsia" w:eastAsiaTheme="minorEastAsia"/>
          <w:lang w:eastAsia="zh-CN"/>
        </w:rPr>
      </w:pPr>
    </w:p>
    <w:p>
      <w:pPr>
        <w:ind w:right="420"/>
        <w:rPr>
          <w:rFonts w:cs="宋体" w:asciiTheme="minorEastAsia" w:hAnsiTheme="minorEastAsia" w:eastAsiaTheme="minorEastAsia"/>
          <w:lang w:eastAsia="zh-CN"/>
        </w:rPr>
      </w:pPr>
      <w:r>
        <w:rPr>
          <w:rFonts w:cs="宋体" w:asciiTheme="minorEastAsia" w:hAnsiTheme="minorEastAsia" w:eastAsiaTheme="minorEastAsia"/>
          <w:lang w:eastAsia="zh-CN"/>
        </w:rPr>
        <w:br w:type="page"/>
      </w:r>
    </w:p>
    <w:p>
      <w:pPr>
        <w:ind w:right="420"/>
        <w:rPr>
          <w:rFonts w:cs="宋体" w:asciiTheme="minorEastAsia" w:hAnsiTheme="minorEastAsia" w:eastAsiaTheme="minorEastAsia"/>
          <w:lang w:eastAsia="zh-CN"/>
        </w:rPr>
      </w:pPr>
      <w:r>
        <w:rPr>
          <w:rFonts w:hint="eastAsia" w:cs="Arial" w:asciiTheme="minorEastAsia" w:hAnsiTheme="minorEastAsia" w:eastAsiaTheme="minorEastAsia"/>
          <w:b/>
          <w:bCs/>
          <w:w w:val="90"/>
          <w:lang w:eastAsia="zh-CN"/>
        </w:rPr>
        <w:t>2、明细报价表</w:t>
      </w:r>
    </w:p>
    <w:p>
      <w:pP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eastAsia="zh-CN"/>
        </w:rPr>
        <w:t xml:space="preserve">    </w:t>
      </w:r>
      <w:r>
        <w:rPr>
          <w:rFonts w:hint="eastAsia" w:cs="宋体" w:asciiTheme="minorEastAsia" w:hAnsiTheme="minorEastAsia" w:eastAsiaTheme="minorEastAsia"/>
          <w:lang w:val="en-US" w:eastAsia="zh-CN"/>
        </w:rPr>
        <w:t>投标人可自行编制明细报价表，应体现相关服务及物料的项目名称、材质、单价及相关备注。（模板仅供参考）</w:t>
      </w:r>
    </w:p>
    <w:tbl>
      <w:tblPr>
        <w:tblStyle w:val="3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587"/>
        <w:gridCol w:w="720"/>
        <w:gridCol w:w="1274"/>
        <w:gridCol w:w="1275"/>
        <w:gridCol w:w="127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bookmarkStart w:id="208" w:name="_Toc48995851"/>
            <w:bookmarkStart w:id="209" w:name="_Toc411245423"/>
            <w:bookmarkStart w:id="210" w:name="_Toc47262069"/>
            <w:bookmarkStart w:id="211" w:name="_Toc48791235"/>
            <w:bookmarkStart w:id="212" w:name="_Toc47418731"/>
            <w:bookmarkStart w:id="213" w:name="_Toc47418255"/>
            <w:bookmarkStart w:id="214" w:name="_Toc465350709"/>
            <w:bookmarkStart w:id="215" w:name="_Toc236555309"/>
            <w:bookmarkStart w:id="216" w:name="_Toc324152532"/>
            <w:bookmarkStart w:id="217" w:name="_Toc99466921"/>
            <w:bookmarkStart w:id="218" w:name="_Toc47261885"/>
            <w:bookmarkStart w:id="219" w:name="_Toc47418938"/>
            <w:bookmarkStart w:id="220" w:name="_Toc49019236"/>
            <w:bookmarkStart w:id="221" w:name="_Toc47261690"/>
            <w:r>
              <w:rPr>
                <w:rFonts w:hint="eastAsia" w:cs="Arial" w:asciiTheme="minorEastAsia" w:hAnsiTheme="minorEastAsia" w:eastAsiaTheme="minorEastAsia"/>
                <w:b/>
                <w:bCs/>
                <w:w w:val="90"/>
                <w:vertAlign w:val="baseline"/>
                <w:lang w:val="en-US" w:eastAsia="zh-CN"/>
              </w:rPr>
              <w:t>编号</w:t>
            </w:r>
          </w:p>
        </w:tc>
        <w:tc>
          <w:tcPr>
            <w:tcW w:w="1587"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项目</w:t>
            </w:r>
          </w:p>
        </w:tc>
        <w:tc>
          <w:tcPr>
            <w:tcW w:w="720"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规格</w:t>
            </w:r>
          </w:p>
        </w:tc>
        <w:tc>
          <w:tcPr>
            <w:tcW w:w="1274"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单位</w:t>
            </w:r>
          </w:p>
        </w:tc>
        <w:tc>
          <w:tcPr>
            <w:tcW w:w="127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单价</w:t>
            </w:r>
          </w:p>
        </w:tc>
        <w:tc>
          <w:tcPr>
            <w:tcW w:w="1275"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数量</w:t>
            </w:r>
          </w:p>
        </w:tc>
        <w:tc>
          <w:tcPr>
            <w:tcW w:w="1774" w:type="dxa"/>
          </w:tcPr>
          <w:p>
            <w:pPr>
              <w:keepNext/>
              <w:keepLines/>
              <w:spacing w:before="260" w:after="260" w:line="360" w:lineRule="auto"/>
              <w:jc w:val="center"/>
              <w:outlineLvl w:val="1"/>
              <w:rPr>
                <w:rFonts w:hint="default" w:cs="Arial" w:asciiTheme="minorEastAsia" w:hAnsiTheme="minorEastAsia" w:eastAsiaTheme="minorEastAsia"/>
                <w:b/>
                <w:bCs/>
                <w:w w:val="90"/>
                <w:vertAlign w:val="baseline"/>
                <w:lang w:val="en-US" w:eastAsia="zh-CN"/>
              </w:rPr>
            </w:pPr>
            <w:r>
              <w:rPr>
                <w:rFonts w:hint="eastAsia" w:cs="Arial" w:asciiTheme="minorEastAsia" w:hAnsiTheme="minorEastAsia" w:eastAsiaTheme="minorEastAsia"/>
                <w:b/>
                <w:bCs/>
                <w:w w:val="90"/>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主场服务费</w:t>
            </w:r>
          </w:p>
        </w:tc>
        <w:tc>
          <w:tcPr>
            <w:tcW w:w="720" w:type="dxa"/>
          </w:tcPr>
          <w:p>
            <w:pPr>
              <w:jc w:val="both"/>
              <w:rPr>
                <w:rFonts w:hint="eastAsia" w:asciiTheme="minorEastAsia" w:hAnsiTheme="minorEastAsia" w:eastAsiaTheme="minorEastAsia"/>
                <w:lang w:eastAsia="zh-CN"/>
              </w:rPr>
            </w:pP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项</w:t>
            </w:r>
          </w:p>
        </w:tc>
        <w:tc>
          <w:tcPr>
            <w:tcW w:w="1275" w:type="dxa"/>
          </w:tcPr>
          <w:p>
            <w:pPr>
              <w:jc w:val="both"/>
              <w:rPr>
                <w:rFonts w:hint="eastAsia" w:asciiTheme="minorEastAsia" w:hAnsiTheme="minorEastAsia" w:eastAsiaTheme="minorEastAsia"/>
                <w:lang w:eastAsia="zh-CN"/>
              </w:rPr>
            </w:pP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w:t>
            </w:r>
          </w:p>
        </w:tc>
        <w:tc>
          <w:tcPr>
            <w:tcW w:w="1774" w:type="dxa"/>
          </w:tcPr>
          <w:p>
            <w:pPr>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该项最高限价为5.5万元</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氛围设计搭建</w:t>
            </w:r>
          </w:p>
        </w:tc>
        <w:tc>
          <w:tcPr>
            <w:tcW w:w="720" w:type="dxa"/>
          </w:tcPr>
          <w:p>
            <w:pPr>
              <w:jc w:val="both"/>
              <w:rPr>
                <w:rFonts w:hint="eastAsia" w:asciiTheme="minorEastAsia" w:hAnsiTheme="minorEastAsia" w:eastAsiaTheme="minorEastAsia"/>
                <w:lang w:eastAsia="zh-CN"/>
              </w:rPr>
            </w:pPr>
          </w:p>
        </w:tc>
        <w:tc>
          <w:tcPr>
            <w:tcW w:w="1274" w:type="dxa"/>
          </w:tcPr>
          <w:p>
            <w:pPr>
              <w:jc w:val="center"/>
              <w:rPr>
                <w:rFonts w:hint="eastAsia" w:asciiTheme="minorEastAsia" w:hAnsiTheme="minorEastAsia" w:eastAsiaTheme="minorEastAsia"/>
                <w:lang w:eastAsia="zh-CN"/>
              </w:rPr>
            </w:pPr>
          </w:p>
        </w:tc>
        <w:tc>
          <w:tcPr>
            <w:tcW w:w="1275" w:type="dxa"/>
          </w:tcPr>
          <w:p>
            <w:pPr>
              <w:jc w:val="both"/>
              <w:rPr>
                <w:rFonts w:hint="eastAsia" w:asciiTheme="minorEastAsia" w:hAnsiTheme="minorEastAsia" w:eastAsiaTheme="minorEastAsia"/>
                <w:lang w:eastAsia="zh-CN"/>
              </w:rPr>
            </w:pPr>
          </w:p>
        </w:tc>
        <w:tc>
          <w:tcPr>
            <w:tcW w:w="1275" w:type="dxa"/>
          </w:tcPr>
          <w:p>
            <w:pPr>
              <w:jc w:val="both"/>
              <w:rPr>
                <w:rFonts w:hint="eastAsia" w:asciiTheme="minorEastAsia" w:hAnsiTheme="minorEastAsia" w:eastAsiaTheme="minorEastAsia"/>
                <w:lang w:eastAsia="zh-CN"/>
              </w:rPr>
            </w:pPr>
          </w:p>
        </w:tc>
        <w:tc>
          <w:tcPr>
            <w:tcW w:w="1774" w:type="dxa"/>
          </w:tcPr>
          <w:p>
            <w:pPr>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该项最高限价为15万元</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3(会议服务）</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会场led</w:t>
            </w:r>
          </w:p>
        </w:tc>
        <w:tc>
          <w:tcPr>
            <w:tcW w:w="72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平方</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774" w:type="dxa"/>
            <w:vMerge w:val="restart"/>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（该项最高限价为20万元）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会场舞台</w:t>
            </w:r>
          </w:p>
        </w:tc>
        <w:tc>
          <w:tcPr>
            <w:tcW w:w="720" w:type="dxa"/>
          </w:tcPr>
          <w:p>
            <w:pPr>
              <w:jc w:val="both"/>
              <w:rPr>
                <w:rFonts w:hint="eastAsia" w:asciiTheme="minorEastAsia" w:hAnsiTheme="minorEastAsia" w:eastAsiaTheme="minorEastAsia"/>
                <w:lang w:val="en-US" w:eastAsia="zh-CN"/>
              </w:rPr>
            </w:pPr>
          </w:p>
        </w:tc>
        <w:tc>
          <w:tcPr>
            <w:tcW w:w="1274" w:type="dxa"/>
          </w:tcPr>
          <w:p>
            <w:pPr>
              <w:jc w:val="center"/>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会场灯光</w:t>
            </w:r>
          </w:p>
        </w:tc>
        <w:tc>
          <w:tcPr>
            <w:tcW w:w="720" w:type="dxa"/>
          </w:tcPr>
          <w:p>
            <w:pPr>
              <w:jc w:val="both"/>
              <w:rPr>
                <w:rFonts w:hint="eastAsia" w:asciiTheme="minorEastAsia" w:hAnsiTheme="minorEastAsia" w:eastAsiaTheme="minorEastAsia"/>
                <w:lang w:val="en-US" w:eastAsia="zh-CN"/>
              </w:rPr>
            </w:pPr>
          </w:p>
        </w:tc>
        <w:tc>
          <w:tcPr>
            <w:tcW w:w="1274" w:type="dxa"/>
          </w:tcPr>
          <w:p>
            <w:pPr>
              <w:jc w:val="center"/>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会场音响</w:t>
            </w:r>
          </w:p>
        </w:tc>
        <w:tc>
          <w:tcPr>
            <w:tcW w:w="720"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4" w:type="dxa"/>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c>
          <w:tcPr>
            <w:tcW w:w="1774" w:type="dxa"/>
            <w:vMerge w:val="continue"/>
          </w:tcPr>
          <w:p>
            <w:pPr>
              <w:jc w:val="both"/>
              <w:rPr>
                <w:rFonts w:hint="default"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p>
        </w:tc>
        <w:tc>
          <w:tcPr>
            <w:tcW w:w="1587" w:type="dxa"/>
          </w:tcPr>
          <w:p>
            <w:pPr>
              <w:jc w:val="both"/>
              <w:rPr>
                <w:rFonts w:hint="default" w:asciiTheme="minorEastAsia" w:hAnsiTheme="minorEastAsia" w:eastAsiaTheme="minorEastAsia"/>
                <w:lang w:val="en-US" w:eastAsia="zh-CN"/>
              </w:rPr>
            </w:pPr>
          </w:p>
        </w:tc>
        <w:tc>
          <w:tcPr>
            <w:tcW w:w="720" w:type="dxa"/>
          </w:tcPr>
          <w:p>
            <w:pPr>
              <w:jc w:val="both"/>
              <w:rPr>
                <w:rFonts w:hint="default" w:asciiTheme="minorEastAsia" w:hAnsiTheme="minorEastAsia" w:eastAsiaTheme="minorEastAsia"/>
                <w:lang w:val="en-US" w:eastAsia="zh-CN"/>
              </w:rPr>
            </w:pPr>
          </w:p>
        </w:tc>
        <w:tc>
          <w:tcPr>
            <w:tcW w:w="1274" w:type="dxa"/>
          </w:tcPr>
          <w:p>
            <w:pPr>
              <w:jc w:val="center"/>
              <w:rPr>
                <w:rFonts w:hint="default" w:asciiTheme="minorEastAsia" w:hAnsiTheme="minorEastAsia" w:eastAsiaTheme="minorEastAsia"/>
                <w:lang w:val="en-US" w:eastAsia="zh-CN"/>
              </w:rPr>
            </w:pPr>
          </w:p>
        </w:tc>
        <w:tc>
          <w:tcPr>
            <w:tcW w:w="1275" w:type="dxa"/>
          </w:tcPr>
          <w:p>
            <w:pPr>
              <w:jc w:val="both"/>
              <w:rPr>
                <w:rFonts w:hint="default" w:asciiTheme="minorEastAsia" w:hAnsiTheme="minorEastAsia" w:eastAsiaTheme="minorEastAsia"/>
                <w:lang w:val="en-US" w:eastAsia="zh-CN"/>
              </w:rPr>
            </w:pPr>
          </w:p>
        </w:tc>
        <w:tc>
          <w:tcPr>
            <w:tcW w:w="1275" w:type="dxa"/>
          </w:tcPr>
          <w:p>
            <w:pPr>
              <w:jc w:val="both"/>
              <w:rPr>
                <w:rFonts w:hint="default" w:asciiTheme="minorEastAsia" w:hAnsiTheme="minorEastAsia" w:eastAsiaTheme="minorEastAsia"/>
                <w:lang w:val="en-US" w:eastAsia="zh-CN"/>
              </w:rPr>
            </w:pPr>
          </w:p>
        </w:tc>
        <w:tc>
          <w:tcPr>
            <w:tcW w:w="1774" w:type="dxa"/>
            <w:vMerge w:val="restart"/>
          </w:tcPr>
          <w:p>
            <w:pPr>
              <w:jc w:val="both"/>
              <w:rPr>
                <w:rFonts w:hint="default"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587" w:type="dxa"/>
          </w:tcPr>
          <w:p>
            <w:pPr>
              <w:jc w:val="both"/>
              <w:rPr>
                <w:rFonts w:hint="default" w:asciiTheme="minorEastAsia" w:hAnsiTheme="minorEastAsia" w:eastAsiaTheme="minorEastAsia"/>
                <w:lang w:val="en-US" w:eastAsia="zh-CN"/>
              </w:rPr>
            </w:pPr>
          </w:p>
        </w:tc>
        <w:tc>
          <w:tcPr>
            <w:tcW w:w="720" w:type="dxa"/>
          </w:tcPr>
          <w:p>
            <w:pPr>
              <w:jc w:val="both"/>
              <w:rPr>
                <w:rFonts w:hint="eastAsia" w:asciiTheme="minorEastAsia" w:hAnsiTheme="minorEastAsia" w:eastAsiaTheme="minorEastAsia"/>
                <w:lang w:val="en-US" w:eastAsia="zh-CN"/>
              </w:rPr>
            </w:pPr>
          </w:p>
        </w:tc>
        <w:tc>
          <w:tcPr>
            <w:tcW w:w="1274" w:type="dxa"/>
          </w:tcPr>
          <w:p>
            <w:pPr>
              <w:jc w:val="center"/>
              <w:rPr>
                <w:rFonts w:hint="default"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587" w:type="dxa"/>
          </w:tcPr>
          <w:p>
            <w:pPr>
              <w:jc w:val="both"/>
              <w:rPr>
                <w:rFonts w:hint="default" w:asciiTheme="minorEastAsia" w:hAnsiTheme="minorEastAsia" w:eastAsiaTheme="minorEastAsia"/>
                <w:lang w:val="en-US" w:eastAsia="zh-CN"/>
              </w:rPr>
            </w:pPr>
          </w:p>
        </w:tc>
        <w:tc>
          <w:tcPr>
            <w:tcW w:w="720"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vMerge w:val="continue"/>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default" w:asciiTheme="minorEastAsia" w:hAnsiTheme="minorEastAsia" w:eastAsiaTheme="minorEastAsia"/>
                <w:lang w:val="en-US" w:eastAsia="zh-CN"/>
              </w:rPr>
            </w:pPr>
          </w:p>
        </w:tc>
        <w:tc>
          <w:tcPr>
            <w:tcW w:w="1587" w:type="dxa"/>
          </w:tcPr>
          <w:p>
            <w:pPr>
              <w:jc w:val="both"/>
              <w:rPr>
                <w:rFonts w:hint="default" w:asciiTheme="minorEastAsia" w:hAnsiTheme="minorEastAsia" w:eastAsiaTheme="minorEastAsia"/>
                <w:lang w:val="en-US" w:eastAsia="zh-CN"/>
              </w:rPr>
            </w:pPr>
          </w:p>
        </w:tc>
        <w:tc>
          <w:tcPr>
            <w:tcW w:w="720"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587" w:type="dxa"/>
          </w:tcPr>
          <w:p>
            <w:pPr>
              <w:jc w:val="both"/>
              <w:rPr>
                <w:rFonts w:hint="eastAsia" w:asciiTheme="minorEastAsia" w:hAnsiTheme="minorEastAsia" w:eastAsiaTheme="minorEastAsia"/>
                <w:lang w:val="en-US" w:eastAsia="zh-CN"/>
              </w:rPr>
            </w:pPr>
          </w:p>
        </w:tc>
        <w:tc>
          <w:tcPr>
            <w:tcW w:w="720"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587"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税费</w:t>
            </w:r>
          </w:p>
        </w:tc>
        <w:tc>
          <w:tcPr>
            <w:tcW w:w="720"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774" w:type="dxa"/>
          </w:tcPr>
          <w:p>
            <w:pPr>
              <w:jc w:val="both"/>
              <w:rPr>
                <w:rFonts w:hint="eastAsia" w:asciiTheme="minorEastAsia" w:hAnsiTheme="minor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pPr>
              <w:jc w:val="both"/>
              <w:rPr>
                <w:rFonts w:hint="eastAsia" w:asciiTheme="minorEastAsia" w:hAnsiTheme="minorEastAsia" w:eastAsiaTheme="minorEastAsia"/>
                <w:lang w:val="en-US" w:eastAsia="zh-CN"/>
              </w:rPr>
            </w:pPr>
          </w:p>
        </w:tc>
        <w:tc>
          <w:tcPr>
            <w:tcW w:w="1587" w:type="dxa"/>
          </w:tcPr>
          <w:p>
            <w:pPr>
              <w:jc w:val="both"/>
              <w:rPr>
                <w:rFonts w:hint="eastAsia" w:asciiTheme="minorEastAsia" w:hAnsiTheme="minorEastAsia" w:eastAsiaTheme="minorEastAsia"/>
                <w:lang w:val="en-US" w:eastAsia="zh-CN"/>
              </w:rPr>
            </w:pPr>
          </w:p>
        </w:tc>
        <w:tc>
          <w:tcPr>
            <w:tcW w:w="720" w:type="dxa"/>
          </w:tcPr>
          <w:p>
            <w:pPr>
              <w:jc w:val="both"/>
              <w:rPr>
                <w:rFonts w:hint="eastAsia" w:asciiTheme="minorEastAsia" w:hAnsiTheme="minorEastAsia" w:eastAsiaTheme="minorEastAsia"/>
                <w:lang w:val="en-US" w:eastAsia="zh-CN"/>
              </w:rPr>
            </w:pPr>
          </w:p>
        </w:tc>
        <w:tc>
          <w:tcPr>
            <w:tcW w:w="1274" w:type="dxa"/>
          </w:tcPr>
          <w:p>
            <w:pPr>
              <w:jc w:val="both"/>
              <w:rPr>
                <w:rFonts w:hint="eastAsia" w:asciiTheme="minorEastAsia" w:hAnsiTheme="minorEastAsia" w:eastAsiaTheme="minorEastAsia"/>
                <w:lang w:val="en-US" w:eastAsia="zh-CN"/>
              </w:rPr>
            </w:pPr>
          </w:p>
        </w:tc>
        <w:tc>
          <w:tcPr>
            <w:tcW w:w="1275" w:type="dxa"/>
          </w:tcPr>
          <w:p>
            <w:pPr>
              <w:jc w:val="both"/>
              <w:rPr>
                <w:rFonts w:hint="eastAsia" w:asciiTheme="minorEastAsia" w:hAnsiTheme="minorEastAsia" w:eastAsiaTheme="minorEastAsia"/>
                <w:lang w:val="en-US" w:eastAsia="zh-CN"/>
              </w:rPr>
            </w:pPr>
          </w:p>
        </w:tc>
        <w:tc>
          <w:tcPr>
            <w:tcW w:w="1275"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合计</w:t>
            </w:r>
          </w:p>
        </w:tc>
        <w:tc>
          <w:tcPr>
            <w:tcW w:w="1774" w:type="dxa"/>
          </w:tcPr>
          <w:p>
            <w:pPr>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w:t>
            </w:r>
          </w:p>
        </w:tc>
      </w:tr>
    </w:tbl>
    <w:p>
      <w:pPr>
        <w:keepNext/>
        <w:keepLines/>
        <w:spacing w:before="260" w:after="260" w:line="360" w:lineRule="auto"/>
        <w:outlineLvl w:val="1"/>
        <w:rPr>
          <w:rFonts w:cs="Arial" w:asciiTheme="minorEastAsia" w:hAnsiTheme="minorEastAsia" w:eastAsiaTheme="minorEastAsia"/>
          <w:b/>
          <w:bCs/>
          <w:w w:val="90"/>
          <w:lang w:eastAsia="zh-CN"/>
        </w:rPr>
      </w:pPr>
      <w:r>
        <w:rPr>
          <w:rFonts w:hint="eastAsia" w:cs="Arial" w:asciiTheme="minorEastAsia" w:hAnsiTheme="minorEastAsia" w:eastAsiaTheme="minorEastAsia"/>
          <w:b/>
          <w:bCs/>
          <w:w w:val="90"/>
          <w:lang w:eastAsia="zh-CN"/>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222" w:name="_Toc30332"/>
      <w:r>
        <w:rPr>
          <w:rFonts w:hint="eastAsia" w:cs="Arial" w:asciiTheme="minorEastAsia" w:hAnsiTheme="minorEastAsia" w:eastAsiaTheme="minorEastAsia"/>
          <w:b/>
          <w:bCs/>
          <w:w w:val="90"/>
          <w:lang w:eastAsia="zh-CN"/>
        </w:rPr>
        <w:t>3、法定代表人授权书格式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rPr>
          <w:rFonts w:asciiTheme="minorEastAsia" w:hAnsiTheme="minorEastAsia" w:eastAsiaTheme="minorEastAsia"/>
          <w:lang w:eastAsia="zh-CN"/>
        </w:rPr>
      </w:pPr>
    </w:p>
    <w:p>
      <w:pPr>
        <w:spacing w:line="360" w:lineRule="auto"/>
        <w:jc w:val="center"/>
        <w:rPr>
          <w:rFonts w:asciiTheme="minorEastAsia" w:hAnsiTheme="minorEastAsia" w:eastAsiaTheme="minorEastAsia"/>
          <w:b/>
          <w:bCs/>
          <w:lang w:eastAsia="zh-CN"/>
        </w:rPr>
      </w:pPr>
      <w:r>
        <w:rPr>
          <w:rFonts w:hint="eastAsia" w:asciiTheme="minorEastAsia" w:hAnsiTheme="minorEastAsia" w:eastAsiaTheme="minorEastAsia"/>
          <w:b/>
          <w:bCs/>
          <w:lang w:eastAsia="zh-CN"/>
        </w:rPr>
        <w:t>法定代表人授权书</w:t>
      </w:r>
    </w:p>
    <w:p>
      <w:pPr>
        <w:spacing w:line="360" w:lineRule="auto"/>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r>
        <w:rPr>
          <w:rFonts w:hint="eastAsia" w:asciiTheme="minorEastAsia" w:hAnsiTheme="minorEastAsia" w:eastAsiaTheme="minorEastAsia"/>
          <w:lang w:eastAsia="zh-CN"/>
        </w:rPr>
        <w:t>本授权书声明：注册于中华人民共和国的</w:t>
      </w:r>
      <w:r>
        <w:rPr>
          <w:rFonts w:hint="eastAsia" w:asciiTheme="minorEastAsia" w:hAnsiTheme="minorEastAsia" w:eastAsiaTheme="minorEastAsia"/>
          <w:u w:val="single"/>
          <w:lang w:eastAsia="zh-CN"/>
        </w:rPr>
        <w:t>（投标人名称）</w:t>
      </w:r>
      <w:r>
        <w:rPr>
          <w:rFonts w:hint="eastAsia" w:asciiTheme="minorEastAsia" w:hAnsiTheme="minorEastAsia" w:eastAsiaTheme="minorEastAsia"/>
          <w:lang w:eastAsia="zh-CN"/>
        </w:rPr>
        <w:t>的在下面签字的</w:t>
      </w:r>
      <w:r>
        <w:rPr>
          <w:rFonts w:hint="eastAsia" w:asciiTheme="minorEastAsia" w:hAnsiTheme="minorEastAsia" w:eastAsiaTheme="minorEastAsia"/>
          <w:u w:val="single"/>
          <w:lang w:eastAsia="zh-CN"/>
        </w:rPr>
        <w:t>（法定代表人姓名、职务）</w:t>
      </w:r>
      <w:r>
        <w:rPr>
          <w:rFonts w:hint="eastAsia" w:asciiTheme="minorEastAsia" w:hAnsiTheme="minorEastAsia" w:eastAsiaTheme="minorEastAsia"/>
          <w:lang w:eastAsia="zh-CN"/>
        </w:rPr>
        <w:t>代表本公司授权的在下面签字的</w:t>
      </w:r>
      <w:r>
        <w:rPr>
          <w:rFonts w:hint="eastAsia" w:asciiTheme="minorEastAsia" w:hAnsiTheme="minorEastAsia" w:eastAsiaTheme="minorEastAsia"/>
          <w:u w:val="single"/>
          <w:lang w:eastAsia="zh-CN"/>
        </w:rPr>
        <w:t>（被授权人的姓名、职务）</w:t>
      </w:r>
      <w:r>
        <w:rPr>
          <w:rFonts w:hint="eastAsia" w:asciiTheme="minorEastAsia" w:hAnsiTheme="minorEastAsia" w:eastAsiaTheme="minorEastAsia"/>
          <w:lang w:eastAsia="zh-CN"/>
        </w:rPr>
        <w:t>为本公司的合法代理人，就招标编号为的</w:t>
      </w:r>
      <w:r>
        <w:rPr>
          <w:rFonts w:asciiTheme="minorEastAsia" w:hAnsiTheme="minorEastAsia" w:eastAsiaTheme="minorEastAsia"/>
          <w:lang w:eastAsia="zh-CN"/>
        </w:rPr>
        <w:t>(</w:t>
      </w:r>
      <w:r>
        <w:rPr>
          <w:rFonts w:hint="eastAsia" w:asciiTheme="minorEastAsia" w:hAnsiTheme="minorEastAsia" w:eastAsiaTheme="minorEastAsia"/>
          <w:u w:val="single"/>
          <w:lang w:eastAsia="zh-CN"/>
        </w:rPr>
        <w:t>招标货物名称</w:t>
      </w:r>
      <w:r>
        <w:rPr>
          <w:rFonts w:asciiTheme="minorEastAsia" w:hAnsiTheme="minorEastAsia" w:eastAsiaTheme="minorEastAsia"/>
          <w:u w:val="single"/>
          <w:lang w:eastAsia="zh-CN"/>
        </w:rPr>
        <w:t>)</w:t>
      </w:r>
      <w:r>
        <w:rPr>
          <w:rFonts w:hint="eastAsia" w:asciiTheme="minorEastAsia" w:hAnsiTheme="minorEastAsia" w:eastAsiaTheme="minorEastAsia"/>
          <w:lang w:eastAsia="zh-CN"/>
        </w:rPr>
        <w:t>的投标，以本公司名义处理一切与之有关的事务。</w:t>
      </w:r>
    </w:p>
    <w:p>
      <w:pPr>
        <w:spacing w:line="360" w:lineRule="auto"/>
        <w:ind w:firstLine="435"/>
        <w:rPr>
          <w:rFonts w:asciiTheme="minorEastAsia" w:hAnsiTheme="minorEastAsia" w:eastAsiaTheme="minorEastAsia"/>
          <w:lang w:eastAsia="zh-CN"/>
        </w:rPr>
      </w:pPr>
      <w:r>
        <w:rPr>
          <w:rFonts w:hint="eastAsia" w:asciiTheme="minorEastAsia" w:hAnsiTheme="minorEastAsia" w:eastAsiaTheme="minorEastAsia"/>
          <w:lang w:eastAsia="zh-CN"/>
        </w:rPr>
        <w:t>本授权书于年月日签字生效，特此声明。</w:t>
      </w: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lang w:eastAsia="zh-CN"/>
        </w:rPr>
      </w:pP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法定代表人签字</w:t>
      </w: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被授权人签字</w:t>
      </w:r>
    </w:p>
    <w:p>
      <w:pPr>
        <w:spacing w:line="360" w:lineRule="auto"/>
        <w:ind w:firstLine="435"/>
        <w:rPr>
          <w:rFonts w:asciiTheme="minorEastAsia" w:hAnsiTheme="minorEastAsia" w:eastAsiaTheme="minorEastAsia"/>
          <w:u w:val="single"/>
          <w:lang w:eastAsia="zh-CN"/>
        </w:rPr>
      </w:pPr>
      <w:r>
        <w:rPr>
          <w:rFonts w:hint="eastAsia" w:asciiTheme="minorEastAsia" w:hAnsiTheme="minorEastAsia" w:eastAsiaTheme="minorEastAsia"/>
          <w:lang w:eastAsia="zh-CN"/>
        </w:rPr>
        <w:t>投标人公章</w:t>
      </w:r>
    </w:p>
    <w:p>
      <w:pPr>
        <w:spacing w:line="360" w:lineRule="auto"/>
        <w:rPr>
          <w:rFonts w:asciiTheme="minorEastAsia" w:hAnsiTheme="minorEastAsia" w:eastAsiaTheme="minorEastAsia"/>
          <w:b/>
          <w:bCs/>
          <w:lang w:eastAsia="zh-CN"/>
        </w:rPr>
      </w:pPr>
      <w:r>
        <w:rPr>
          <w:rFonts w:asciiTheme="minorEastAsia" w:hAnsiTheme="minorEastAsia" w:eastAsiaTheme="minorEastAsia"/>
          <w:b/>
          <w:bCs/>
          <w:lang w:eastAsia="zh-CN"/>
        </w:rPr>
        <w:br w:type="page"/>
      </w:r>
    </w:p>
    <w:p>
      <w:pPr>
        <w:keepNext/>
        <w:keepLines/>
        <w:spacing w:before="260" w:after="260" w:line="360" w:lineRule="auto"/>
        <w:outlineLvl w:val="1"/>
        <w:rPr>
          <w:rFonts w:cs="Arial" w:asciiTheme="minorEastAsia" w:hAnsiTheme="minorEastAsia" w:eastAsiaTheme="minorEastAsia"/>
          <w:b/>
          <w:bCs/>
          <w:w w:val="90"/>
          <w:lang w:eastAsia="zh-CN"/>
        </w:rPr>
      </w:pPr>
      <w:bookmarkStart w:id="223" w:name="_Toc48791236"/>
      <w:bookmarkStart w:id="224" w:name="_Toc236555310"/>
      <w:bookmarkStart w:id="225" w:name="_Toc47261886"/>
      <w:bookmarkStart w:id="226" w:name="_Toc47418732"/>
      <w:bookmarkStart w:id="227" w:name="_Toc411245424"/>
      <w:bookmarkStart w:id="228" w:name="_Toc49019237"/>
      <w:bookmarkStart w:id="229" w:name="_Toc47261691"/>
      <w:bookmarkStart w:id="230" w:name="_Toc47262070"/>
      <w:bookmarkStart w:id="231" w:name="_Toc11980"/>
      <w:bookmarkStart w:id="232" w:name="_Toc47418939"/>
      <w:bookmarkStart w:id="233" w:name="_Toc47418256"/>
      <w:bookmarkStart w:id="234" w:name="_Toc99466922"/>
      <w:bookmarkStart w:id="235" w:name="_Toc465350710"/>
      <w:bookmarkStart w:id="236" w:name="_Toc324152533"/>
      <w:bookmarkStart w:id="237" w:name="_Toc48995852"/>
      <w:r>
        <w:rPr>
          <w:rFonts w:hint="eastAsia" w:cs="Arial" w:asciiTheme="minorEastAsia" w:hAnsiTheme="minorEastAsia" w:eastAsiaTheme="minorEastAsia"/>
          <w:b/>
          <w:bCs/>
          <w:w w:val="90"/>
          <w:lang w:eastAsia="zh-CN"/>
        </w:rPr>
        <w:t>4、资格证明文件格式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目录：</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4.1</w:t>
      </w:r>
      <w:r>
        <w:rPr>
          <w:rFonts w:hint="eastAsia" w:ascii="宋体" w:hAnsi="宋体" w:cs="宋体"/>
          <w:szCs w:val="21"/>
        </w:rPr>
        <w:t>投标函。</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4.2</w:t>
      </w:r>
      <w:r>
        <w:rPr>
          <w:rFonts w:hint="eastAsia" w:ascii="宋体" w:hAnsi="宋体" w:cs="宋体"/>
          <w:szCs w:val="21"/>
        </w:rPr>
        <w:t>单位负责人授权书（法定代表人和投标代表人身份证复印件）。</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4.3</w:t>
      </w:r>
      <w:r>
        <w:rPr>
          <w:rFonts w:hint="eastAsia" w:ascii="宋体" w:hAnsi="宋体" w:cs="宋体"/>
          <w:szCs w:val="21"/>
        </w:rPr>
        <w:t>法人或者其他组织的营业执照等证明文件，自然人的身份证明。</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4.4</w:t>
      </w:r>
      <w:r>
        <w:rPr>
          <w:rFonts w:hint="eastAsia" w:ascii="宋体" w:hAnsi="宋体" w:cs="宋体"/>
          <w:szCs w:val="21"/>
        </w:rPr>
        <w:t>上一年度或上一季度财务报告</w:t>
      </w:r>
    </w:p>
    <w:p>
      <w:pPr>
        <w:adjustRightInd w:val="0"/>
        <w:snapToGrid w:val="0"/>
        <w:spacing w:line="360" w:lineRule="auto"/>
        <w:rPr>
          <w:rFonts w:hint="eastAsia" w:ascii="宋体" w:hAnsi="宋体" w:cs="宋体"/>
          <w:szCs w:val="21"/>
        </w:rPr>
      </w:pPr>
      <w:r>
        <w:rPr>
          <w:rFonts w:hint="eastAsia" w:ascii="宋体" w:hAnsi="宋体" w:cs="宋体"/>
          <w:szCs w:val="21"/>
          <w:lang w:val="en-US" w:eastAsia="zh-CN"/>
        </w:rPr>
        <w:t>4.5</w:t>
      </w:r>
      <w:r>
        <w:rPr>
          <w:rFonts w:hint="eastAsia" w:ascii="宋体" w:hAnsi="宋体" w:cs="宋体"/>
          <w:szCs w:val="21"/>
        </w:rPr>
        <w:t>投标截止时间前六个月任一个月的依法缴纳税收的凭据</w:t>
      </w:r>
    </w:p>
    <w:p>
      <w:pPr>
        <w:adjustRightInd w:val="0"/>
        <w:snapToGrid w:val="0"/>
        <w:spacing w:line="360" w:lineRule="auto"/>
        <w:rPr>
          <w:rFonts w:ascii="宋体" w:hAnsi="宋体" w:cs="宋体"/>
          <w:szCs w:val="21"/>
        </w:rPr>
      </w:pPr>
      <w:r>
        <w:rPr>
          <w:rFonts w:hint="eastAsia" w:ascii="宋体" w:hAnsi="宋体" w:cs="宋体"/>
          <w:szCs w:val="21"/>
          <w:lang w:val="en-US" w:eastAsia="zh-CN"/>
        </w:rPr>
        <w:t>4.6</w:t>
      </w:r>
      <w:r>
        <w:rPr>
          <w:rFonts w:hint="eastAsia" w:ascii="宋体" w:hAnsi="宋体" w:cs="宋体"/>
          <w:szCs w:val="21"/>
        </w:rPr>
        <w:t>提投标截止时间前六个月任一个月的依法缴纳社会保障资金的凭据</w:t>
      </w:r>
    </w:p>
    <w:p>
      <w:pPr>
        <w:spacing w:line="360" w:lineRule="auto"/>
        <w:rPr>
          <w:rFonts w:asciiTheme="minorEastAsia" w:hAnsiTheme="minorEastAsia" w:eastAsiaTheme="minorEastAsia"/>
          <w:lang w:eastAsia="zh-CN"/>
        </w:rPr>
      </w:pPr>
    </w:p>
    <w:p>
      <w:pPr>
        <w:spacing w:line="360" w:lineRule="auto"/>
        <w:ind w:firstLine="435"/>
        <w:rPr>
          <w:rFonts w:cs="Arial" w:asciiTheme="minorEastAsia" w:hAnsiTheme="minorEastAsia" w:eastAsiaTheme="minorEastAsia"/>
          <w:b/>
          <w:bCs/>
          <w:w w:val="90"/>
          <w:lang w:eastAsia="zh-CN"/>
        </w:rPr>
      </w:pPr>
      <w:r>
        <w:rPr>
          <w:rFonts w:asciiTheme="minorEastAsia" w:hAnsiTheme="minorEastAsia" w:eastAsiaTheme="minorEastAsia"/>
          <w:b/>
          <w:bCs/>
          <w:lang w:eastAsia="zh-CN"/>
        </w:rPr>
        <w:br w:type="page"/>
      </w:r>
      <w:bookmarkStart w:id="238" w:name="_Toc236555311"/>
    </w:p>
    <w:p>
      <w:pPr>
        <w:keepNext/>
        <w:keepLines/>
        <w:spacing w:before="260" w:after="260" w:line="360" w:lineRule="auto"/>
        <w:outlineLvl w:val="1"/>
        <w:rPr>
          <w:rFonts w:cs="Arial" w:asciiTheme="minorEastAsia" w:hAnsiTheme="minorEastAsia" w:eastAsiaTheme="minorEastAsia"/>
          <w:b/>
          <w:bCs/>
          <w:w w:val="90"/>
          <w:lang w:eastAsia="zh-CN"/>
        </w:rPr>
      </w:pPr>
      <w:bookmarkStart w:id="239" w:name="_Toc465350711"/>
      <w:bookmarkStart w:id="240" w:name="_Toc411245425"/>
      <w:bookmarkStart w:id="241" w:name="_Toc1349"/>
      <w:r>
        <w:rPr>
          <w:rFonts w:hint="eastAsia" w:cs="Arial" w:asciiTheme="minorEastAsia" w:hAnsiTheme="minorEastAsia" w:eastAsiaTheme="minorEastAsia"/>
          <w:b/>
          <w:bCs/>
          <w:w w:val="90"/>
          <w:lang w:eastAsia="zh-CN"/>
        </w:rPr>
        <w:t>5、投标人基本情况信息表</w:t>
      </w:r>
      <w:bookmarkEnd w:id="238"/>
      <w:bookmarkEnd w:id="239"/>
      <w:bookmarkEnd w:id="240"/>
      <w:bookmarkEnd w:id="241"/>
    </w:p>
    <w:tbl>
      <w:tblPr>
        <w:tblStyle w:val="37"/>
        <w:tblW w:w="8923"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575"/>
        <w:gridCol w:w="236"/>
        <w:gridCol w:w="2966"/>
        <w:gridCol w:w="236"/>
        <w:gridCol w:w="1248"/>
        <w:gridCol w:w="236"/>
        <w:gridCol w:w="242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575" w:type="dxa"/>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企业名称</w:t>
            </w:r>
          </w:p>
        </w:tc>
        <w:tc>
          <w:tcPr>
            <w:tcW w:w="343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成立日期</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013" w:type="dxa"/>
            <w:gridSpan w:val="4"/>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企业法人营业执照注册号</w:t>
            </w:r>
          </w:p>
        </w:tc>
        <w:tc>
          <w:tcPr>
            <w:tcW w:w="3910" w:type="dxa"/>
            <w:gridSpan w:val="3"/>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注册资本</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企业类型</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批准登记机关</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组织代码</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法定代表人</w:t>
            </w:r>
          </w:p>
        </w:tc>
        <w:tc>
          <w:tcPr>
            <w:tcW w:w="320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营业期限</w:t>
            </w:r>
          </w:p>
        </w:tc>
        <w:tc>
          <w:tcPr>
            <w:tcW w:w="2426" w:type="dxa"/>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811" w:type="dxa"/>
            <w:gridSpan w:val="2"/>
            <w:tcBorders>
              <w:top w:val="single" w:color="auto" w:sz="6" w:space="0"/>
              <w:bottom w:val="single" w:color="auto" w:sz="6" w:space="0"/>
              <w:right w:val="single" w:color="auto" w:sz="6"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相关资质</w:t>
            </w:r>
          </w:p>
        </w:tc>
        <w:tc>
          <w:tcPr>
            <w:tcW w:w="7112" w:type="dxa"/>
            <w:gridSpan w:val="5"/>
            <w:tcBorders>
              <w:top w:val="single" w:color="auto" w:sz="6" w:space="0"/>
              <w:left w:val="single" w:color="auto" w:sz="6" w:space="0"/>
              <w:bottom w:val="single" w:color="auto" w:sz="6" w:space="0"/>
            </w:tcBorders>
            <w:vAlign w:val="center"/>
          </w:tcPr>
          <w:p>
            <w:pPr>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主营业务</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地址</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开户银行</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开户行号</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银行账号</w:t>
            </w:r>
          </w:p>
        </w:tc>
        <w:tc>
          <w:tcPr>
            <w:tcW w:w="7112" w:type="dxa"/>
            <w:gridSpan w:val="5"/>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电话</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传真</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邮箱</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邮编</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11" w:type="dxa"/>
            <w:gridSpan w:val="2"/>
            <w:tcBorders>
              <w:top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联系人</w:t>
            </w:r>
          </w:p>
        </w:tc>
        <w:tc>
          <w:tcPr>
            <w:tcW w:w="2966" w:type="dxa"/>
            <w:tcBorders>
              <w:top w:val="single" w:color="auto" w:sz="6" w:space="0"/>
              <w:left w:val="single" w:color="auto" w:sz="6" w:space="0"/>
              <w:bottom w:val="single" w:color="auto" w:sz="6" w:space="0"/>
              <w:right w:val="single" w:color="auto" w:sz="6" w:space="0"/>
            </w:tcBorders>
            <w:vAlign w:val="center"/>
          </w:tcPr>
          <w:p>
            <w:pPr>
              <w:rPr>
                <w:rFonts w:asciiTheme="minorEastAsia" w:hAnsiTheme="minorEastAsia" w:eastAsiaTheme="minorEastAsia"/>
              </w:rPr>
            </w:pPr>
          </w:p>
        </w:tc>
        <w:tc>
          <w:tcPr>
            <w:tcW w:w="148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联系方式</w:t>
            </w:r>
          </w:p>
        </w:tc>
        <w:tc>
          <w:tcPr>
            <w:tcW w:w="2662" w:type="dxa"/>
            <w:gridSpan w:val="2"/>
            <w:tcBorders>
              <w:top w:val="single" w:color="auto" w:sz="6" w:space="0"/>
              <w:left w:val="single" w:color="auto" w:sz="6" w:space="0"/>
              <w:bottom w:val="single" w:color="auto" w:sz="6" w:space="0"/>
            </w:tcBorders>
            <w:vAlign w:val="center"/>
          </w:tcPr>
          <w:p>
            <w:pP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1575"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2966"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1248" w:type="dxa"/>
            <w:tcBorders>
              <w:top w:val="nil"/>
              <w:left w:val="nil"/>
              <w:bottom w:val="nil"/>
              <w:right w:val="nil"/>
            </w:tcBorders>
            <w:vAlign w:val="center"/>
          </w:tcPr>
          <w:p>
            <w:pPr>
              <w:rPr>
                <w:rFonts w:cs="宋体" w:asciiTheme="minorEastAsia" w:hAnsiTheme="minorEastAsia" w:eastAsiaTheme="minorEastAsia"/>
              </w:rPr>
            </w:pPr>
          </w:p>
        </w:tc>
        <w:tc>
          <w:tcPr>
            <w:tcW w:w="236" w:type="dxa"/>
            <w:tcBorders>
              <w:top w:val="nil"/>
              <w:left w:val="nil"/>
              <w:bottom w:val="nil"/>
              <w:right w:val="nil"/>
            </w:tcBorders>
            <w:vAlign w:val="center"/>
          </w:tcPr>
          <w:p>
            <w:pPr>
              <w:rPr>
                <w:rFonts w:cs="宋体" w:asciiTheme="minorEastAsia" w:hAnsiTheme="minorEastAsia" w:eastAsiaTheme="minorEastAsia"/>
              </w:rPr>
            </w:pPr>
          </w:p>
        </w:tc>
        <w:tc>
          <w:tcPr>
            <w:tcW w:w="2426" w:type="dxa"/>
            <w:tcBorders>
              <w:top w:val="nil"/>
              <w:left w:val="nil"/>
              <w:bottom w:val="nil"/>
              <w:right w:val="nil"/>
            </w:tcBorders>
            <w:vAlign w:val="center"/>
          </w:tcPr>
          <w:p>
            <w:pPr>
              <w:rPr>
                <w:rFonts w:cs="宋体" w:asciiTheme="minorEastAsia" w:hAnsiTheme="minorEastAsia" w:eastAsiaTheme="minorEastAsia"/>
              </w:rPr>
            </w:pPr>
          </w:p>
        </w:tc>
      </w:tr>
    </w:tbl>
    <w:p>
      <w:pPr>
        <w:spacing w:line="360" w:lineRule="auto"/>
        <w:ind w:right="-126"/>
        <w:jc w:val="center"/>
        <w:rPr>
          <w:rFonts w:asciiTheme="minorEastAsia" w:hAnsiTheme="minorEastAsia" w:eastAsiaTheme="minorEastAsia"/>
        </w:rPr>
      </w:pPr>
    </w:p>
    <w:p>
      <w:pPr>
        <w:spacing w:line="360" w:lineRule="auto"/>
        <w:ind w:right="-126"/>
        <w:rPr>
          <w:rFonts w:cs="Arial" w:asciiTheme="minorEastAsia" w:hAnsiTheme="minorEastAsia" w:eastAsiaTheme="minorEastAsia"/>
          <w:b/>
          <w:bCs/>
          <w:w w:val="90"/>
        </w:rPr>
      </w:pPr>
      <w:r>
        <w:rPr>
          <w:rFonts w:asciiTheme="minorEastAsia" w:hAnsiTheme="minorEastAsia" w:eastAsiaTheme="minorEastAsia"/>
        </w:rPr>
        <w:br w:type="page"/>
      </w:r>
      <w:bookmarkStart w:id="242" w:name="_Toc171134630"/>
      <w:bookmarkStart w:id="243" w:name="_Toc324152534"/>
      <w:bookmarkStart w:id="244" w:name="_Toc164568595"/>
      <w:bookmarkStart w:id="245" w:name="_Toc187747060"/>
      <w:bookmarkStart w:id="246" w:name="_Toc236555312"/>
      <w:r>
        <w:rPr>
          <w:rFonts w:hint="eastAsia" w:asciiTheme="minorEastAsia" w:hAnsiTheme="minorEastAsia" w:eastAsiaTheme="minorEastAsia"/>
        </w:rPr>
        <w:t>6</w:t>
      </w:r>
      <w:r>
        <w:rPr>
          <w:rFonts w:hint="eastAsia" w:cs="Arial" w:asciiTheme="minorEastAsia" w:hAnsiTheme="minorEastAsia" w:eastAsiaTheme="minorEastAsia"/>
          <w:b/>
          <w:bCs/>
          <w:w w:val="90"/>
        </w:rPr>
        <w:t>、业绩证明文件</w:t>
      </w:r>
      <w:bookmarkEnd w:id="242"/>
      <w:bookmarkEnd w:id="243"/>
      <w:bookmarkEnd w:id="244"/>
      <w:bookmarkEnd w:id="245"/>
      <w:bookmarkEnd w:id="246"/>
    </w:p>
    <w:p>
      <w:pPr>
        <w:spacing w:line="360" w:lineRule="auto"/>
        <w:jc w:val="center"/>
        <w:rPr>
          <w:rFonts w:asciiTheme="minorEastAsia" w:hAnsiTheme="minorEastAsia" w:eastAsiaTheme="minorEastAsia"/>
        </w:rPr>
      </w:pPr>
      <w:r>
        <w:rPr>
          <w:rFonts w:hint="eastAsia" w:asciiTheme="minorEastAsia" w:hAnsiTheme="minorEastAsia" w:eastAsiaTheme="minorEastAsia"/>
          <w:b/>
          <w:bCs/>
        </w:rPr>
        <w:t>（复印件加盖公章）</w:t>
      </w:r>
    </w:p>
    <w:p>
      <w:pPr>
        <w:tabs>
          <w:tab w:val="left" w:pos="5580"/>
        </w:tabs>
        <w:spacing w:before="120" w:line="360" w:lineRule="auto"/>
        <w:rPr>
          <w:rFonts w:asciiTheme="minorEastAsia" w:hAnsiTheme="minorEastAsia" w:eastAsiaTheme="minorEastAsia"/>
        </w:rPr>
      </w:pPr>
      <w:r>
        <w:rPr>
          <w:rFonts w:hint="eastAsia" w:asciiTheme="minorEastAsia" w:hAnsiTheme="minorEastAsia" w:eastAsiaTheme="minorEastAsia"/>
        </w:rPr>
        <w:t>说明：</w:t>
      </w:r>
    </w:p>
    <w:p>
      <w:pPr>
        <w:spacing w:line="360" w:lineRule="auto"/>
        <w:ind w:firstLine="440" w:firstLineChars="200"/>
        <w:rPr>
          <w:rFonts w:asciiTheme="minorEastAsia" w:hAnsiTheme="minorEastAsia" w:eastAsiaTheme="minorEastAsia"/>
          <w:bCs/>
          <w:lang w:eastAsia="zh-CN"/>
        </w:rPr>
      </w:pPr>
      <w:r>
        <w:rPr>
          <w:rFonts w:hint="eastAsia" w:asciiTheme="minorEastAsia" w:hAnsiTheme="minorEastAsia" w:eastAsiaTheme="minorEastAsia"/>
          <w:lang w:eastAsia="zh-CN"/>
        </w:rPr>
        <w:t>请单独列表说明，并提供业绩项目的合同或中标通知书，原件备查。</w:t>
      </w:r>
    </w:p>
    <w:p>
      <w:pPr>
        <w:spacing w:line="360" w:lineRule="auto"/>
        <w:ind w:right="-126"/>
        <w:jc w:val="center"/>
        <w:rPr>
          <w:rFonts w:asciiTheme="minorEastAsia" w:hAnsiTheme="minorEastAsia" w:eastAsiaTheme="minorEastAsia"/>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spacing w:line="360" w:lineRule="auto"/>
        <w:ind w:right="-126"/>
        <w:rPr>
          <w:rFonts w:asciiTheme="minorEastAsia" w:hAnsiTheme="minorEastAsia" w:eastAsiaTheme="minorEastAsia"/>
          <w:b/>
          <w:bCs/>
          <w:w w:val="90"/>
          <w:lang w:eastAsia="zh-CN"/>
        </w:rPr>
      </w:pPr>
    </w:p>
    <w:p>
      <w:pPr>
        <w:keepNext/>
        <w:keepLines/>
        <w:spacing w:before="260" w:after="260" w:line="360" w:lineRule="auto"/>
        <w:outlineLvl w:val="1"/>
        <w:rPr>
          <w:rFonts w:asciiTheme="minorEastAsia" w:hAnsiTheme="minorEastAsia" w:eastAsiaTheme="minorEastAsia"/>
          <w:b/>
          <w:bCs/>
          <w:w w:val="90"/>
          <w:lang w:eastAsia="zh-CN"/>
        </w:rPr>
        <w:sectPr>
          <w:footerReference r:id="rId14" w:type="first"/>
          <w:footerReference r:id="rId12" w:type="default"/>
          <w:footerReference r:id="rId13" w:type="even"/>
          <w:pgSz w:w="11906" w:h="16838"/>
          <w:pgMar w:top="1089" w:right="1599" w:bottom="1089" w:left="1599" w:header="851" w:footer="850" w:gutter="0"/>
          <w:pgNumType w:fmt="decimal"/>
          <w:cols w:space="0" w:num="1"/>
        </w:sectPr>
      </w:pPr>
      <w:bookmarkStart w:id="247" w:name="_Toc324152535"/>
      <w:bookmarkStart w:id="248" w:name="_Toc236555313"/>
      <w:bookmarkStart w:id="249" w:name="_Toc411245426"/>
    </w:p>
    <w:p>
      <w:pPr>
        <w:keepNext/>
        <w:keepLines/>
        <w:spacing w:before="260" w:after="260" w:line="360" w:lineRule="auto"/>
        <w:outlineLvl w:val="1"/>
        <w:rPr>
          <w:rFonts w:cs="Arial" w:asciiTheme="minorEastAsia" w:hAnsiTheme="minorEastAsia" w:eastAsiaTheme="minorEastAsia"/>
          <w:b/>
          <w:bCs/>
          <w:w w:val="90"/>
          <w:lang w:eastAsia="zh-CN"/>
        </w:rPr>
      </w:pPr>
      <w:bookmarkStart w:id="250" w:name="_Toc465350712"/>
      <w:bookmarkStart w:id="251" w:name="_Toc18509"/>
      <w:r>
        <w:rPr>
          <w:rFonts w:hint="eastAsia" w:asciiTheme="minorEastAsia" w:hAnsiTheme="minorEastAsia" w:eastAsiaTheme="minorEastAsia"/>
          <w:b/>
          <w:bCs/>
          <w:w w:val="90"/>
          <w:lang w:eastAsia="zh-CN"/>
        </w:rPr>
        <w:t>7、</w:t>
      </w:r>
      <w:r>
        <w:rPr>
          <w:rFonts w:hint="eastAsia" w:cs="Arial" w:asciiTheme="minorEastAsia" w:hAnsiTheme="minorEastAsia" w:eastAsiaTheme="minorEastAsia"/>
          <w:b/>
          <w:bCs/>
          <w:w w:val="90"/>
          <w:lang w:eastAsia="zh-CN"/>
        </w:rPr>
        <w:t>售后服务承诺书</w:t>
      </w:r>
      <w:bookmarkEnd w:id="247"/>
      <w:bookmarkEnd w:id="248"/>
      <w:bookmarkEnd w:id="249"/>
      <w:bookmarkEnd w:id="250"/>
      <w:bookmarkEnd w:id="251"/>
    </w:p>
    <w:p>
      <w:pPr>
        <w:spacing w:line="360" w:lineRule="auto"/>
        <w:ind w:right="-126"/>
        <w:rPr>
          <w:rFonts w:asciiTheme="minorEastAsia" w:hAnsiTheme="minorEastAsia" w:eastAsiaTheme="minorEastAsia"/>
          <w:lang w:eastAsia="zh-CN"/>
        </w:rPr>
      </w:pPr>
      <w:r>
        <w:rPr>
          <w:rFonts w:hint="eastAsia" w:asciiTheme="minorEastAsia" w:hAnsiTheme="minorEastAsia" w:eastAsiaTheme="minorEastAsia"/>
          <w:lang w:eastAsia="zh-CN"/>
        </w:rPr>
        <w:t>我公司为本项目采购提供如下售后服务的各项内容等特此承诺：</w:t>
      </w:r>
    </w:p>
    <w:p>
      <w:pPr>
        <w:spacing w:line="360" w:lineRule="auto"/>
        <w:ind w:right="-126"/>
        <w:jc w:val="center"/>
        <w:rPr>
          <w:rFonts w:asciiTheme="minorEastAsia" w:hAnsiTheme="minorEastAsia" w:eastAsiaTheme="minorEastAsia"/>
          <w:lang w:eastAsia="zh-CN"/>
        </w:rPr>
      </w:pPr>
    </w:p>
    <w:p>
      <w:pPr>
        <w:spacing w:line="440" w:lineRule="exact"/>
        <w:rPr>
          <w:rFonts w:asciiTheme="minorEastAsia" w:hAnsiTheme="minorEastAsia" w:eastAsiaTheme="minorEastAsia"/>
          <w:lang w:eastAsia="zh-CN"/>
        </w:rPr>
      </w:pP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投标人：</w:t>
      </w:r>
      <w:r>
        <w:rPr>
          <w:rFonts w:hint="eastAsia" w:asciiTheme="minorEastAsia" w:hAnsiTheme="minorEastAsia" w:eastAsiaTheme="minorEastAsia"/>
          <w:u w:val="single"/>
          <w:lang w:eastAsia="zh-CN"/>
        </w:rPr>
        <w:t>（盖公章）</w:t>
      </w: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法人代表或其授权人：</w:t>
      </w:r>
      <w:r>
        <w:rPr>
          <w:rFonts w:hint="eastAsia" w:asciiTheme="minorEastAsia" w:hAnsiTheme="minorEastAsia" w:eastAsiaTheme="minorEastAsia"/>
          <w:u w:val="single"/>
          <w:lang w:eastAsia="zh-CN"/>
        </w:rPr>
        <w:t>（签字</w:t>
      </w:r>
      <w:r>
        <w:rPr>
          <w:rFonts w:asciiTheme="minorEastAsia" w:hAnsiTheme="minorEastAsia" w:eastAsiaTheme="minorEastAsia"/>
          <w:u w:val="single"/>
          <w:lang w:eastAsia="zh-CN"/>
        </w:rPr>
        <w:t>/</w:t>
      </w:r>
      <w:r>
        <w:rPr>
          <w:rFonts w:hint="eastAsia" w:asciiTheme="minorEastAsia" w:hAnsiTheme="minorEastAsia" w:eastAsiaTheme="minorEastAsia"/>
          <w:u w:val="single"/>
          <w:lang w:eastAsia="zh-CN"/>
        </w:rPr>
        <w:t>盖章）</w:t>
      </w:r>
    </w:p>
    <w:p>
      <w:pPr>
        <w:snapToGrid w:val="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日期：</w:t>
      </w:r>
    </w:p>
    <w:p>
      <w:pPr>
        <w:snapToGrid w:val="0"/>
        <w:spacing w:line="360" w:lineRule="auto"/>
        <w:rPr>
          <w:rFonts w:asciiTheme="minorEastAsia" w:hAnsiTheme="minorEastAsia" w:eastAsiaTheme="minorEastAsia"/>
          <w:u w:val="single"/>
          <w:lang w:eastAsia="zh-CN"/>
        </w:rPr>
      </w:pPr>
    </w:p>
    <w:p>
      <w:pPr>
        <w:snapToGrid w:val="0"/>
        <w:spacing w:line="360" w:lineRule="auto"/>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r>
        <w:rPr>
          <w:rFonts w:asciiTheme="minorEastAsia" w:hAnsiTheme="minorEastAsia" w:eastAsiaTheme="minorEastAsia"/>
          <w:u w:val="single"/>
          <w:lang w:eastAsia="zh-CN"/>
        </w:rPr>
        <w:br w:type="page"/>
      </w: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rPr>
          <w:rFonts w:asciiTheme="minorEastAsia" w:hAnsiTheme="minorEastAsia" w:eastAsiaTheme="minorEastAsia"/>
          <w:u w:val="single"/>
          <w:lang w:eastAsia="zh-CN"/>
        </w:rPr>
      </w:pPr>
    </w:p>
    <w:p>
      <w:pPr>
        <w:pStyle w:val="2"/>
        <w:rPr>
          <w:rFonts w:asciiTheme="minorEastAsia" w:hAnsiTheme="minorEastAsia" w:eastAsiaTheme="minorEastAsia"/>
          <w:u w:val="single"/>
          <w:lang w:eastAsia="zh-CN"/>
        </w:rPr>
      </w:pPr>
    </w:p>
    <w:p>
      <w:pPr>
        <w:rPr>
          <w:lang w:eastAsia="zh-CN"/>
        </w:rPr>
      </w:pPr>
    </w:p>
    <w:p>
      <w:pPr>
        <w:pStyle w:val="2"/>
        <w:rPr>
          <w:lang w:eastAsia="zh-CN"/>
        </w:rPr>
      </w:pPr>
    </w:p>
    <w:p>
      <w:pPr>
        <w:rPr>
          <w:lang w:eastAsia="zh-CN"/>
        </w:rPr>
      </w:pPr>
    </w:p>
    <w:p>
      <w:pPr>
        <w:pStyle w:val="2"/>
        <w:rPr>
          <w:lang w:eastAsia="zh-CN"/>
        </w:rPr>
      </w:pPr>
    </w:p>
    <w:p>
      <w:pPr>
        <w:keepNext/>
        <w:keepLines/>
        <w:widowControl w:val="0"/>
        <w:tabs>
          <w:tab w:val="left" w:pos="2160"/>
        </w:tabs>
        <w:snapToGrid w:val="0"/>
        <w:spacing w:before="340" w:after="330" w:line="360" w:lineRule="auto"/>
        <w:jc w:val="center"/>
        <w:outlineLvl w:val="0"/>
        <w:rPr>
          <w:rFonts w:ascii="宋体" w:hAnsi="宋体"/>
          <w:b/>
          <w:bCs/>
          <w:kern w:val="44"/>
          <w:sz w:val="44"/>
          <w:szCs w:val="36"/>
          <w:lang w:eastAsia="zh-CN" w:bidi="ar-SA"/>
        </w:rPr>
      </w:pPr>
      <w:bookmarkStart w:id="252" w:name="_Toc47415947"/>
      <w:bookmarkStart w:id="253" w:name="_Toc49019240"/>
      <w:bookmarkStart w:id="254" w:name="_Toc99466925"/>
      <w:bookmarkStart w:id="255" w:name="_Toc47416201"/>
      <w:bookmarkStart w:id="256" w:name="_Toc7626"/>
      <w:bookmarkStart w:id="257" w:name="_Toc465350713"/>
      <w:bookmarkStart w:id="258" w:name="_Toc411245427"/>
      <w:bookmarkStart w:id="259" w:name="_Toc236555315"/>
      <w:bookmarkStart w:id="260" w:name="_Toc324152536"/>
      <w:r>
        <w:rPr>
          <w:rFonts w:hint="eastAsia" w:ascii="宋体" w:hAnsi="宋体"/>
          <w:b/>
          <w:bCs/>
          <w:kern w:val="44"/>
          <w:sz w:val="44"/>
          <w:szCs w:val="36"/>
          <w:lang w:eastAsia="zh-CN" w:bidi="ar-SA"/>
        </w:rPr>
        <w:t>第八章 评标标准</w:t>
      </w:r>
      <w:bookmarkEnd w:id="252"/>
      <w:bookmarkEnd w:id="253"/>
      <w:bookmarkEnd w:id="254"/>
      <w:bookmarkEnd w:id="255"/>
      <w:r>
        <w:rPr>
          <w:rFonts w:hint="eastAsia" w:ascii="宋体" w:hAnsi="宋体"/>
          <w:b/>
          <w:bCs/>
          <w:kern w:val="44"/>
          <w:sz w:val="44"/>
          <w:szCs w:val="36"/>
          <w:lang w:eastAsia="zh-CN" w:bidi="ar-SA"/>
        </w:rPr>
        <w:t>与方法</w:t>
      </w:r>
      <w:bookmarkEnd w:id="256"/>
      <w:bookmarkEnd w:id="257"/>
      <w:bookmarkEnd w:id="258"/>
      <w:bookmarkEnd w:id="259"/>
      <w:bookmarkEnd w:id="260"/>
    </w:p>
    <w:p>
      <w:pPr>
        <w:rPr>
          <w:rFonts w:cs="宋体" w:asciiTheme="minorEastAsia" w:hAnsiTheme="minorEastAsia" w:eastAsiaTheme="minorEastAsia"/>
          <w:lang w:eastAsia="zh-CN"/>
        </w:rPr>
        <w:sectPr>
          <w:footerReference r:id="rId15" w:type="default"/>
          <w:pgSz w:w="11906" w:h="16838"/>
          <w:pgMar w:top="1089" w:right="1599" w:bottom="1089" w:left="1599" w:header="851" w:footer="850" w:gutter="0"/>
          <w:pgNumType w:fmt="decimal"/>
          <w:cols w:space="0" w:num="1"/>
        </w:sectPr>
      </w:pPr>
    </w:p>
    <w:p>
      <w:pPr>
        <w:keepNext/>
        <w:keepLines/>
        <w:spacing w:before="260" w:after="260" w:line="415" w:lineRule="auto"/>
        <w:jc w:val="center"/>
        <w:outlineLvl w:val="1"/>
        <w:rPr>
          <w:rFonts w:cs="Arial" w:asciiTheme="minorEastAsia" w:hAnsiTheme="minorEastAsia" w:eastAsiaTheme="minorEastAsia"/>
          <w:b/>
          <w:lang w:eastAsia="zh-CN"/>
        </w:rPr>
      </w:pPr>
      <w:bookmarkStart w:id="261" w:name="_Toc160954999"/>
      <w:bookmarkStart w:id="262" w:name="_Toc40599702"/>
      <w:bookmarkStart w:id="263" w:name="_Toc39677665"/>
      <w:bookmarkStart w:id="264" w:name="_Toc465350714"/>
      <w:bookmarkStart w:id="265" w:name="_Toc11206"/>
      <w:bookmarkStart w:id="266" w:name="_Toc236555316"/>
      <w:bookmarkStart w:id="267" w:name="_Toc324152537"/>
      <w:bookmarkStart w:id="268" w:name="_Toc411245428"/>
      <w:r>
        <w:rPr>
          <w:rFonts w:hint="eastAsia" w:cs="Arial" w:asciiTheme="minorEastAsia" w:hAnsiTheme="minorEastAsia" w:eastAsiaTheme="minorEastAsia"/>
          <w:b/>
          <w:lang w:eastAsia="zh-CN"/>
        </w:rPr>
        <w:t>一、评标方法</w:t>
      </w:r>
      <w:bookmarkEnd w:id="261"/>
      <w:bookmarkEnd w:id="262"/>
      <w:bookmarkEnd w:id="263"/>
      <w:bookmarkEnd w:id="264"/>
      <w:bookmarkEnd w:id="265"/>
      <w:bookmarkEnd w:id="266"/>
      <w:bookmarkEnd w:id="267"/>
      <w:bookmarkEnd w:id="268"/>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、适用范围</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此评标办法只适用于本项目。</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2</w:t>
      </w:r>
      <w:r>
        <w:rPr>
          <w:rFonts w:hint="eastAsia" w:asciiTheme="minorEastAsia" w:hAnsiTheme="minorEastAsia" w:eastAsiaTheme="minorEastAsia"/>
          <w:b/>
          <w:bCs/>
          <w:lang w:eastAsia="zh-CN"/>
        </w:rPr>
        <w:t>、评标原则</w:t>
      </w:r>
    </w:p>
    <w:p>
      <w:pPr>
        <w:spacing w:line="440" w:lineRule="exact"/>
        <w:ind w:firstLine="42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评标原则是指评标</w:t>
      </w:r>
      <w:r>
        <w:rPr>
          <w:rFonts w:hint="eastAsia" w:asciiTheme="minorEastAsia" w:hAnsiTheme="minorEastAsia" w:eastAsiaTheme="minorEastAsia"/>
          <w:b w:val="0"/>
          <w:bCs/>
          <w:lang w:val="en-US" w:eastAsia="zh-CN"/>
        </w:rPr>
        <w:t>委员会</w:t>
      </w:r>
      <w:r>
        <w:rPr>
          <w:rFonts w:hint="eastAsia" w:asciiTheme="minorEastAsia" w:hAnsiTheme="minorEastAsia" w:eastAsiaTheme="minorEastAsia"/>
          <w:b w:val="0"/>
          <w:bCs/>
          <w:lang w:eastAsia="zh-CN"/>
        </w:rPr>
        <w:t>专家在评标活动中应遵循的原则，即《中华人民共和国招标投标法》和七部委令所规定的“公平、公正、科学、择优”的原则。</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3</w:t>
      </w:r>
      <w:r>
        <w:rPr>
          <w:rFonts w:hint="eastAsia" w:asciiTheme="minorEastAsia" w:hAnsiTheme="minorEastAsia" w:eastAsiaTheme="minorEastAsia"/>
          <w:b/>
          <w:bCs/>
          <w:lang w:eastAsia="zh-CN"/>
        </w:rPr>
        <w:t>、评标标准</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eastAsia="zh-CN"/>
        </w:rPr>
        <w:t>评标标准是指招标文件中所规定的各项标准，分</w:t>
      </w:r>
      <w:r>
        <w:rPr>
          <w:rFonts w:hint="eastAsia" w:asciiTheme="minorEastAsia" w:hAnsiTheme="minorEastAsia" w:eastAsiaTheme="minorEastAsia"/>
          <w:lang w:val="en-US" w:eastAsia="zh-CN"/>
        </w:rPr>
        <w:t>报价、</w:t>
      </w:r>
      <w:r>
        <w:rPr>
          <w:rFonts w:hint="eastAsia" w:asciiTheme="minorEastAsia" w:hAnsiTheme="minorEastAsia" w:eastAsiaTheme="minorEastAsia"/>
          <w:lang w:eastAsia="zh-CN"/>
        </w:rPr>
        <w:t>技术标准和商务标准：</w:t>
      </w:r>
    </w:p>
    <w:p>
      <w:pPr>
        <w:numPr>
          <w:ilvl w:val="0"/>
          <w:numId w:val="41"/>
        </w:numPr>
        <w:spacing w:line="440" w:lineRule="exact"/>
        <w:ind w:firstLine="442" w:firstLineChars="200"/>
        <w:rPr>
          <w:rFonts w:hint="eastAsia" w:asciiTheme="minorEastAsia" w:hAnsiTheme="minorEastAsia" w:eastAsiaTheme="minorEastAsia"/>
          <w:b w:val="0"/>
          <w:bCs w:val="0"/>
          <w:lang w:val="en-US" w:eastAsia="zh-CN"/>
        </w:rPr>
      </w:pPr>
      <w:r>
        <w:rPr>
          <w:rFonts w:hint="eastAsia" w:asciiTheme="minorEastAsia" w:hAnsiTheme="minorEastAsia" w:eastAsiaTheme="minorEastAsia"/>
          <w:b/>
          <w:bCs/>
          <w:lang w:eastAsia="zh-CN"/>
        </w:rPr>
        <w:t>报价</w:t>
      </w:r>
      <w:r>
        <w:rPr>
          <w:rFonts w:hint="eastAsia" w:asciiTheme="minorEastAsia" w:hAnsiTheme="minorEastAsia" w:eastAsiaTheme="minorEastAsia"/>
          <w:b w:val="0"/>
          <w:bCs w:val="0"/>
          <w:lang w:val="en-US" w:eastAsia="zh-CN"/>
        </w:rPr>
        <w:t>是指投标方根据招标文件中所涉及的所有技术要求，对提供的产品、人员、服务等进行项目预算的提报。</w:t>
      </w:r>
    </w:p>
    <w:p>
      <w:pPr>
        <w:numPr>
          <w:ilvl w:val="0"/>
          <w:numId w:val="41"/>
        </w:numPr>
        <w:spacing w:line="440" w:lineRule="exact"/>
        <w:ind w:firstLine="442" w:firstLineChars="200"/>
        <w:rPr>
          <w:rFonts w:asciiTheme="minorEastAsia" w:hAnsiTheme="minorEastAsia" w:eastAsiaTheme="minorEastAsia"/>
          <w:lang w:eastAsia="zh-CN"/>
        </w:rPr>
      </w:pPr>
      <w:r>
        <w:rPr>
          <w:rFonts w:hint="eastAsia" w:asciiTheme="minorEastAsia" w:hAnsiTheme="minorEastAsia" w:eastAsiaTheme="minorEastAsia"/>
          <w:b/>
          <w:bCs/>
          <w:lang w:eastAsia="zh-CN"/>
        </w:rPr>
        <w:t>技术标准</w:t>
      </w:r>
      <w:r>
        <w:rPr>
          <w:rFonts w:hint="eastAsia" w:asciiTheme="minorEastAsia" w:hAnsiTheme="minorEastAsia" w:eastAsiaTheme="minorEastAsia"/>
          <w:lang w:eastAsia="zh-CN"/>
        </w:rPr>
        <w:t>是指招标文件中所规定的技术方案、功能要求、产品名称主要技术参数和要求、技术服务、质量保证等。</w:t>
      </w:r>
    </w:p>
    <w:p>
      <w:pPr>
        <w:spacing w:line="440" w:lineRule="exact"/>
        <w:ind w:firstLine="440" w:firstLineChars="200"/>
        <w:rPr>
          <w:rFonts w:asciiTheme="minorEastAsia" w:hAnsiTheme="minorEastAsia" w:eastAsiaTheme="minorEastAsia"/>
          <w:lang w:eastAsia="zh-CN"/>
        </w:rPr>
      </w:pP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w:t>
      </w:r>
      <w:r>
        <w:rPr>
          <w:rFonts w:hint="eastAsia" w:asciiTheme="minorEastAsia" w:hAnsiTheme="minorEastAsia" w:eastAsiaTheme="minorEastAsia"/>
          <w:b/>
          <w:bCs/>
          <w:lang w:eastAsia="zh-CN"/>
        </w:rPr>
        <w:t>商务标准</w:t>
      </w:r>
      <w:r>
        <w:rPr>
          <w:rFonts w:hint="eastAsia" w:asciiTheme="minorEastAsia" w:hAnsiTheme="minorEastAsia" w:eastAsiaTheme="minorEastAsia"/>
          <w:lang w:eastAsia="zh-CN"/>
        </w:rPr>
        <w:t>是指技术标准以外的全部招标要素，如投标人须知、合同条款所要求的文件格式，特别是招标文件要求的投标保证金、资格文件、交货期等。</w:t>
      </w:r>
    </w:p>
    <w:p>
      <w:pPr>
        <w:tabs>
          <w:tab w:val="left" w:pos="480"/>
        </w:tabs>
        <w:spacing w:line="440" w:lineRule="exact"/>
        <w:ind w:left="480" w:hanging="480"/>
        <w:rPr>
          <w:rFonts w:asciiTheme="minorEastAsia" w:hAnsiTheme="minorEastAsia" w:eastAsiaTheme="minorEastAsia"/>
          <w:b/>
          <w:bCs/>
          <w:lang w:eastAsia="zh-CN"/>
        </w:rPr>
      </w:pPr>
      <w:r>
        <w:rPr>
          <w:rFonts w:asciiTheme="minorEastAsia" w:hAnsiTheme="minorEastAsia" w:eastAsiaTheme="minorEastAsia"/>
          <w:b/>
          <w:bCs/>
          <w:lang w:eastAsia="zh-CN"/>
        </w:rPr>
        <w:t>4</w:t>
      </w:r>
      <w:r>
        <w:rPr>
          <w:rFonts w:hint="eastAsia" w:asciiTheme="minorEastAsia" w:hAnsiTheme="minorEastAsia" w:eastAsiaTheme="minorEastAsia"/>
          <w:b/>
          <w:bCs/>
          <w:lang w:eastAsia="zh-CN"/>
        </w:rPr>
        <w:t>、评标方法</w:t>
      </w:r>
    </w:p>
    <w:p>
      <w:pPr>
        <w:spacing w:line="440" w:lineRule="exact"/>
        <w:ind w:firstLine="42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评标方法是指评标</w:t>
      </w:r>
      <w:r>
        <w:rPr>
          <w:rFonts w:hint="eastAsia" w:asciiTheme="minorEastAsia" w:hAnsiTheme="minorEastAsia" w:eastAsiaTheme="minorEastAsia"/>
          <w:b w:val="0"/>
          <w:bCs/>
          <w:lang w:val="en-US" w:eastAsia="zh-CN"/>
        </w:rPr>
        <w:t>委员会</w:t>
      </w:r>
      <w:r>
        <w:rPr>
          <w:rFonts w:hint="eastAsia" w:asciiTheme="minorEastAsia" w:hAnsiTheme="minorEastAsia" w:eastAsiaTheme="minorEastAsia"/>
          <w:b w:val="0"/>
          <w:bCs/>
          <w:lang w:eastAsia="zh-CN"/>
        </w:rPr>
        <w:t>，除遵循评标原则与标准以外，根据本项目此次招标的情况，采用综合评估法（打分法）对所招标的内容进行具体的评审。</w:t>
      </w:r>
    </w:p>
    <w:p>
      <w:pPr>
        <w:spacing w:line="440" w:lineRule="exact"/>
        <w:ind w:firstLine="440" w:firstLineChars="200"/>
        <w:rPr>
          <w:rFonts w:asciiTheme="minorEastAsia" w:hAnsiTheme="minorEastAsia" w:eastAsiaTheme="minorEastAsia"/>
          <w:b w:val="0"/>
          <w:bCs/>
          <w:lang w:eastAsia="zh-CN"/>
        </w:rPr>
      </w:pPr>
      <w:r>
        <w:rPr>
          <w:rFonts w:hint="eastAsia" w:asciiTheme="minorEastAsia" w:hAnsiTheme="minorEastAsia" w:eastAsiaTheme="minorEastAsia"/>
          <w:b w:val="0"/>
          <w:bCs/>
          <w:lang w:eastAsia="zh-CN"/>
        </w:rPr>
        <w:t>综合评估法即以招标文件为依据，对投标人的投标文件进行综合评价打分，评出能够最大限度地满足招标文件规定的各项综合评价标准得分最高的投标人，推荐中标候选人。</w:t>
      </w:r>
    </w:p>
    <w:p>
      <w:pPr>
        <w:rPr>
          <w:rFonts w:hint="eastAsia" w:cs="Arial" w:asciiTheme="minorEastAsia" w:hAnsiTheme="minorEastAsia" w:eastAsiaTheme="minorEastAsia"/>
          <w:b/>
          <w:lang w:eastAsia="zh-CN"/>
        </w:rPr>
      </w:pPr>
      <w:bookmarkStart w:id="269" w:name="_Toc160955000"/>
      <w:bookmarkStart w:id="270" w:name="_Toc40599703"/>
      <w:bookmarkStart w:id="271" w:name="_Toc236555317"/>
      <w:bookmarkStart w:id="272" w:name="_Toc39677666"/>
      <w:bookmarkStart w:id="273" w:name="_Toc22508"/>
      <w:bookmarkStart w:id="274" w:name="_Toc465350715"/>
      <w:bookmarkStart w:id="275" w:name="_Toc411245429"/>
      <w:bookmarkStart w:id="276" w:name="_Toc324152538"/>
      <w:r>
        <w:rPr>
          <w:rFonts w:hint="eastAsia" w:cs="Arial" w:asciiTheme="minorEastAsia" w:hAnsiTheme="minorEastAsia" w:eastAsiaTheme="minorEastAsia"/>
          <w:b/>
          <w:lang w:eastAsia="zh-CN"/>
        </w:rPr>
        <w:br w:type="page"/>
      </w:r>
    </w:p>
    <w:p>
      <w:pPr>
        <w:keepNext/>
        <w:keepLines/>
        <w:spacing w:before="260" w:after="260" w:line="415" w:lineRule="auto"/>
        <w:jc w:val="center"/>
        <w:outlineLvl w:val="1"/>
        <w:rPr>
          <w:rFonts w:cs="Arial" w:asciiTheme="minorEastAsia" w:hAnsiTheme="minorEastAsia" w:eastAsiaTheme="minorEastAsia"/>
          <w:b/>
          <w:lang w:eastAsia="zh-CN"/>
        </w:rPr>
      </w:pPr>
      <w:r>
        <w:rPr>
          <w:rFonts w:hint="eastAsia" w:cs="Arial" w:asciiTheme="minorEastAsia" w:hAnsiTheme="minorEastAsia" w:eastAsiaTheme="minorEastAsia"/>
          <w:b/>
          <w:lang w:eastAsia="zh-CN"/>
        </w:rPr>
        <w:t>二、评标程序</w:t>
      </w:r>
      <w:bookmarkEnd w:id="269"/>
      <w:bookmarkEnd w:id="270"/>
      <w:bookmarkEnd w:id="271"/>
      <w:bookmarkEnd w:id="272"/>
      <w:bookmarkEnd w:id="273"/>
      <w:bookmarkEnd w:id="274"/>
      <w:bookmarkEnd w:id="275"/>
      <w:bookmarkEnd w:id="276"/>
    </w:p>
    <w:p>
      <w:pPr>
        <w:spacing w:line="440" w:lineRule="exact"/>
        <w:rPr>
          <w:rFonts w:asciiTheme="minorEastAsia" w:hAnsiTheme="minorEastAsia" w:eastAsiaTheme="minorEastAsia"/>
          <w:b/>
          <w:bCs/>
          <w:lang w:eastAsia="zh-CN"/>
        </w:rPr>
      </w:pPr>
      <w:r>
        <w:rPr>
          <w:rFonts w:asciiTheme="minorEastAsia" w:hAnsiTheme="minorEastAsia" w:eastAsiaTheme="minorEastAsia"/>
          <w:b/>
          <w:bCs/>
          <w:lang w:eastAsia="zh-CN"/>
        </w:rPr>
        <w:t>1</w:t>
      </w:r>
      <w:r>
        <w:rPr>
          <w:rFonts w:hint="eastAsia" w:asciiTheme="minorEastAsia" w:hAnsiTheme="minorEastAsia" w:eastAsiaTheme="minorEastAsia"/>
          <w:b/>
          <w:bCs/>
          <w:lang w:eastAsia="zh-CN"/>
        </w:rPr>
        <w:t>、评标程序：</w:t>
      </w:r>
      <w:r>
        <w:rPr>
          <w:rFonts w:hint="eastAsia" w:asciiTheme="minorEastAsia" w:hAnsiTheme="minorEastAsia" w:eastAsiaTheme="minorEastAsia"/>
          <w:b w:val="0"/>
          <w:bCs w:val="0"/>
          <w:highlight w:val="none"/>
          <w:lang w:eastAsia="zh-CN"/>
        </w:rPr>
        <w:t>评标准备→初审→详细评审→</w:t>
      </w:r>
      <w:r>
        <w:rPr>
          <w:rFonts w:hint="eastAsia" w:asciiTheme="minorEastAsia" w:hAnsiTheme="minorEastAsia" w:eastAsiaTheme="minorEastAsia"/>
          <w:b w:val="0"/>
          <w:bCs w:val="0"/>
          <w:highlight w:val="none"/>
          <w:lang w:val="en-US" w:eastAsia="zh-CN"/>
        </w:rPr>
        <w:t>评审意见</w:t>
      </w:r>
      <w:r>
        <w:rPr>
          <w:rFonts w:hint="eastAsia" w:asciiTheme="minorEastAsia" w:hAnsiTheme="minorEastAsia" w:eastAsiaTheme="minorEastAsia"/>
          <w:b w:val="0"/>
          <w:bCs w:val="0"/>
          <w:highlight w:val="none"/>
          <w:lang w:eastAsia="zh-CN"/>
        </w:rPr>
        <w:t>。</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2</w:t>
      </w:r>
      <w:r>
        <w:rPr>
          <w:rFonts w:hint="eastAsia" w:asciiTheme="minorEastAsia" w:hAnsiTheme="minorEastAsia" w:eastAsiaTheme="minorEastAsia"/>
          <w:b/>
          <w:bCs/>
          <w:lang w:eastAsia="zh-CN"/>
        </w:rPr>
        <w:t>、评标准备</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）组建评标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，由评标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负责评标工作；</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3</w:t>
      </w:r>
      <w:r>
        <w:rPr>
          <w:rFonts w:hint="eastAsia" w:asciiTheme="minorEastAsia" w:hAnsiTheme="minorEastAsia" w:eastAsiaTheme="minorEastAsia"/>
          <w:b/>
          <w:bCs/>
          <w:lang w:eastAsia="zh-CN"/>
        </w:rPr>
        <w:t>、初审</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）按照招标文件要求，先对全部投标人文件进行初审。</w:t>
      </w:r>
    </w:p>
    <w:p>
      <w:pPr>
        <w:spacing w:line="360" w:lineRule="auto"/>
        <w:ind w:firstLine="525"/>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）若有一项招标文件中规定的初审指标没有得到响应，则该投标文件将被拒绝。评标委员会将根据初审的结果，进入综合评标。</w:t>
      </w:r>
    </w:p>
    <w:p>
      <w:pPr>
        <w:spacing w:line="360" w:lineRule="auto"/>
        <w:ind w:firstLine="525"/>
        <w:rPr>
          <w:rFonts w:asciiTheme="minorEastAsia" w:hAnsiTheme="minorEastAsia" w:eastAsiaTheme="minorEastAsia"/>
          <w:lang w:eastAsia="zh-CN"/>
        </w:rPr>
      </w:pPr>
      <w:r>
        <w:rPr>
          <w:rFonts w:hint="eastAsia" w:asciiTheme="minorEastAsia" w:hAnsiTheme="minorEastAsia" w:eastAsiaTheme="minorEastAsia"/>
          <w:lang w:eastAsia="zh-CN"/>
        </w:rPr>
        <w:t>评标委员会对投标文件进行符合性审查，如发现下列情况之一，将拒绝其投标：</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(1)投标书、投标报价一览表未按招标文件规定的要求由授权代表签字和加盖公章的；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2</w:t>
      </w:r>
      <w:r>
        <w:rPr>
          <w:rFonts w:hint="eastAsia" w:asciiTheme="minorEastAsia" w:hAnsiTheme="minorEastAsia" w:eastAsiaTheme="minorEastAsia"/>
          <w:b/>
          <w:lang w:eastAsia="zh-CN"/>
        </w:rPr>
        <w:t>)投标有效期不足的；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3</w:t>
      </w:r>
      <w:r>
        <w:rPr>
          <w:rFonts w:hint="eastAsia" w:asciiTheme="minorEastAsia" w:hAnsiTheme="minorEastAsia" w:eastAsiaTheme="minorEastAsia"/>
          <w:b/>
          <w:lang w:eastAsia="zh-CN"/>
        </w:rPr>
        <w:t>)投标人的资格不符合招标文件规定的；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4</w:t>
      </w:r>
      <w:r>
        <w:rPr>
          <w:rFonts w:hint="eastAsia" w:asciiTheme="minorEastAsia" w:hAnsiTheme="minorEastAsia" w:eastAsiaTheme="minorEastAsia"/>
          <w:b/>
          <w:lang w:eastAsia="zh-CN"/>
        </w:rPr>
        <w:t>)投标人递交两份或多份内容不同的投标文件，或在一份投标文件中对同一招标项目报有两个或多个报价，且未声明哪一个有效的；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5</w:t>
      </w:r>
      <w:r>
        <w:rPr>
          <w:rFonts w:hint="eastAsia" w:asciiTheme="minorEastAsia" w:hAnsiTheme="minorEastAsia" w:eastAsiaTheme="minorEastAsia"/>
          <w:b/>
          <w:lang w:eastAsia="zh-CN"/>
        </w:rPr>
        <w:t>)投标报价没有提供报价明细表的；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6</w:t>
      </w:r>
      <w:r>
        <w:rPr>
          <w:rFonts w:hint="eastAsia" w:asciiTheme="minorEastAsia" w:hAnsiTheme="minorEastAsia" w:eastAsiaTheme="minorEastAsia"/>
          <w:b/>
          <w:lang w:eastAsia="zh-CN"/>
        </w:rPr>
        <w:t>)其投标报价超过招标文件规定的招标控制价的；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7</w:t>
      </w:r>
      <w:r>
        <w:rPr>
          <w:rFonts w:hint="eastAsia" w:asciiTheme="minorEastAsia" w:hAnsiTheme="minorEastAsia" w:eastAsiaTheme="minorEastAsia"/>
          <w:b/>
          <w:lang w:eastAsia="zh-CN"/>
        </w:rPr>
        <w:t>)投标文件电子版未按规定要求提交的；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8</w:t>
      </w:r>
      <w:r>
        <w:rPr>
          <w:rFonts w:hint="eastAsia" w:asciiTheme="minorEastAsia" w:hAnsiTheme="minorEastAsia" w:eastAsiaTheme="minorEastAsia"/>
          <w:b/>
          <w:lang w:eastAsia="zh-CN"/>
        </w:rPr>
        <w:t>)投标文件中提供虚假或失实资料的；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9</w:t>
      </w:r>
      <w:r>
        <w:rPr>
          <w:rFonts w:hint="eastAsia" w:asciiTheme="minorEastAsia" w:hAnsiTheme="minorEastAsia" w:eastAsiaTheme="minorEastAsia"/>
          <w:b/>
          <w:lang w:eastAsia="zh-CN"/>
        </w:rPr>
        <w:t>)投标人相互串通投标的；</w:t>
      </w:r>
    </w:p>
    <w:p>
      <w:pPr>
        <w:tabs>
          <w:tab w:val="left" w:pos="900"/>
        </w:tabs>
        <w:adjustRightInd w:val="0"/>
        <w:snapToGrid w:val="0"/>
        <w:spacing w:line="360" w:lineRule="auto"/>
        <w:ind w:firstLine="442" w:firstLineChars="200"/>
        <w:rPr>
          <w:rFonts w:asciiTheme="minorEastAsia" w:hAnsiTheme="minorEastAsia" w:eastAsiaTheme="minorEastAsia"/>
          <w:b/>
          <w:lang w:eastAsia="zh-CN"/>
        </w:rPr>
      </w:pPr>
      <w:r>
        <w:rPr>
          <w:rFonts w:hint="eastAsia" w:asciiTheme="minorEastAsia" w:hAnsiTheme="minorEastAsia" w:eastAsiaTheme="minorEastAsia"/>
          <w:b/>
          <w:lang w:eastAsia="zh-CN"/>
        </w:rPr>
        <w:t>(1</w:t>
      </w:r>
      <w:r>
        <w:rPr>
          <w:rFonts w:hint="eastAsia" w:asciiTheme="minorEastAsia" w:hAnsiTheme="minorEastAsia" w:eastAsiaTheme="minorEastAsia"/>
          <w:b/>
          <w:lang w:val="en-US" w:eastAsia="zh-CN"/>
        </w:rPr>
        <w:t>0</w:t>
      </w:r>
      <w:r>
        <w:rPr>
          <w:rFonts w:hint="eastAsia" w:asciiTheme="minorEastAsia" w:hAnsiTheme="minorEastAsia" w:eastAsiaTheme="minorEastAsia"/>
          <w:b/>
          <w:lang w:eastAsia="zh-CN"/>
        </w:rPr>
        <w:t>)有实质性偏离、缺陷、条件限制或保留；</w:t>
      </w:r>
    </w:p>
    <w:p>
      <w:pPr>
        <w:tabs>
          <w:tab w:val="left" w:pos="1440"/>
        </w:tabs>
        <w:spacing w:line="360" w:lineRule="auto"/>
        <w:ind w:left="440" w:leftChars="200" w:firstLine="4" w:firstLineChars="2"/>
        <w:rPr>
          <w:rFonts w:asciiTheme="minorEastAsia" w:hAnsiTheme="minorEastAsia" w:eastAsiaTheme="minorEastAsia"/>
          <w:lang w:eastAsia="zh-CN"/>
        </w:rPr>
      </w:pPr>
      <w:r>
        <w:rPr>
          <w:rFonts w:asciiTheme="minorEastAsia" w:hAnsiTheme="minorEastAsia" w:eastAsiaTheme="minorEastAsia"/>
          <w:lang w:eastAsia="zh-CN"/>
        </w:rPr>
        <w:t>说明：有下列情形之一的，视为投标人相互串通投标：</w:t>
      </w:r>
      <w:r>
        <w:rPr>
          <w:rFonts w:asciiTheme="minorEastAsia" w:hAnsiTheme="minorEastAsia" w:eastAsiaTheme="minorEastAsia"/>
          <w:lang w:eastAsia="zh-CN"/>
        </w:rPr>
        <w:br w:type="textWrapping"/>
      </w:r>
      <w:r>
        <w:rPr>
          <w:rFonts w:hint="eastAsia" w:asciiTheme="minorEastAsia" w:hAnsiTheme="minorEastAsia" w:eastAsiaTheme="minorEastAsia"/>
          <w:lang w:eastAsia="zh-CN"/>
        </w:rPr>
        <w:t>（a）不同投标人的投标文件由同一单位或者个人编制；</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（b）不同投标人委托同一单位或者个人办理投标事宜；</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（c）不同投标人的投标文件载明的项目管理成员为同一人；</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（d）不同投标人的投标文件异常一致或者投标报价呈规律性差异；</w:t>
      </w:r>
    </w:p>
    <w:p>
      <w:pPr>
        <w:tabs>
          <w:tab w:val="left" w:pos="1440"/>
        </w:tabs>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（e）不同投标人的投标文件相互混装；</w:t>
      </w:r>
    </w:p>
    <w:p>
      <w:pPr>
        <w:spacing w:line="360" w:lineRule="auto"/>
        <w:ind w:left="440" w:leftChars="200" w:firstLine="4" w:firstLineChars="2"/>
        <w:rPr>
          <w:rFonts w:asciiTheme="minorEastAsia" w:hAnsiTheme="minorEastAsia" w:eastAsiaTheme="minorEastAsia"/>
          <w:lang w:eastAsia="zh-CN"/>
        </w:rPr>
      </w:pPr>
      <w:r>
        <w:rPr>
          <w:rFonts w:hint="eastAsia" w:asciiTheme="minorEastAsia" w:hAnsiTheme="minorEastAsia" w:eastAsiaTheme="minorEastAsia"/>
          <w:lang w:eastAsia="zh-CN"/>
        </w:rPr>
        <w:t>（f）不同投标人的投标保证金从同一单位或者个人的账户转出。</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初步审查的各项内容中，如有一项没有合格，则视作未对招标文件做出实质性响应而不能通过初步审查，构成无效标。</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评标委员会将根据初步审查的结果，对通过的投标文件进行详细评审。</w:t>
      </w:r>
    </w:p>
    <w:p>
      <w:pPr>
        <w:tabs>
          <w:tab w:val="left" w:pos="360"/>
        </w:tabs>
        <w:spacing w:line="440" w:lineRule="exact"/>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4</w:t>
      </w:r>
      <w:r>
        <w:rPr>
          <w:rFonts w:hint="eastAsia" w:asciiTheme="minorEastAsia" w:hAnsiTheme="minorEastAsia" w:eastAsiaTheme="minorEastAsia"/>
          <w:b/>
          <w:bCs/>
          <w:lang w:eastAsia="zh-CN"/>
        </w:rPr>
        <w:t>、详细评审</w:t>
      </w:r>
    </w:p>
    <w:p>
      <w:pPr>
        <w:spacing w:line="440" w:lineRule="exact"/>
        <w:ind w:firstLine="525"/>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）评审方式</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评标</w:t>
      </w:r>
      <w:r>
        <w:rPr>
          <w:rFonts w:hint="eastAsia" w:asciiTheme="minorEastAsia" w:hAnsiTheme="minorEastAsia" w:eastAsiaTheme="minorEastAsia"/>
          <w:lang w:val="en-US" w:eastAsia="zh-CN"/>
        </w:rPr>
        <w:t>委员会</w:t>
      </w:r>
      <w:r>
        <w:rPr>
          <w:rFonts w:hint="eastAsia" w:asciiTheme="minorEastAsia" w:hAnsiTheme="minorEastAsia" w:eastAsiaTheme="minorEastAsia"/>
          <w:lang w:eastAsia="zh-CN"/>
        </w:rPr>
        <w:t>对投标文件中的商务和技术部分进行综合评定，确定投标人对招标文件的响应情况，然后采用百分制打分的办法，按分值的高低顺序，评定出中标候选人。分值计算保留小数点后两位，第三位四舍五入。</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所有评委都将对商务文件以及技术文件进行打分，然后再综合汇总。评标时，首先各评委根据自己的打分分别填写“</w:t>
      </w:r>
      <w:r>
        <w:rPr>
          <w:rFonts w:hint="eastAsia" w:asciiTheme="minorEastAsia" w:hAnsiTheme="minorEastAsia" w:eastAsiaTheme="minorEastAsia"/>
          <w:lang w:val="en-US" w:eastAsia="zh-CN"/>
        </w:rPr>
        <w:t>报价评分表</w:t>
      </w:r>
      <w:r>
        <w:rPr>
          <w:rFonts w:hint="eastAsia" w:asciiTheme="minorEastAsia" w:hAnsiTheme="minorEastAsia" w:eastAsiaTheme="minorEastAsia"/>
          <w:lang w:eastAsia="zh-CN"/>
        </w:rPr>
        <w:t>”、“技术评分表”和“商务评分表”，然后由工作人员将“</w:t>
      </w:r>
      <w:r>
        <w:rPr>
          <w:rFonts w:hint="eastAsia" w:asciiTheme="minorEastAsia" w:hAnsiTheme="minorEastAsia" w:eastAsiaTheme="minorEastAsia"/>
          <w:lang w:val="en-US" w:eastAsia="zh-CN"/>
        </w:rPr>
        <w:t>报价评分表</w:t>
      </w:r>
      <w:r>
        <w:rPr>
          <w:rFonts w:hint="eastAsia" w:asciiTheme="minorEastAsia" w:hAnsiTheme="minorEastAsia" w:eastAsiaTheme="minorEastAsia"/>
          <w:lang w:eastAsia="zh-CN"/>
        </w:rPr>
        <w:t>”、“技术评分表”和“商务评分表”集中统计得出“评分汇总表”，并依据投标人得分确定其排名次序。</w:t>
      </w:r>
    </w:p>
    <w:p>
      <w:pPr>
        <w:spacing w:line="440" w:lineRule="exact"/>
        <w:ind w:firstLine="525"/>
        <w:rPr>
          <w:rFonts w:asciiTheme="minorEastAsia" w:hAnsiTheme="minorEastAsia" w:eastAsiaTheme="minorEastAsia"/>
          <w:lang w:eastAsia="zh-CN"/>
        </w:rPr>
      </w:pPr>
      <w:r>
        <w:rPr>
          <w:rFonts w:hint="eastAsia" w:asciiTheme="minorEastAsia" w:hAnsiTheme="minorEastAsia" w:eastAsiaTheme="minorEastAsia"/>
          <w:lang w:eastAsia="zh-CN"/>
        </w:rPr>
        <w:t>在分数相同的情况下，</w:t>
      </w:r>
      <w:r>
        <w:rPr>
          <w:rFonts w:hint="eastAsia" w:asciiTheme="minorEastAsia" w:hAnsiTheme="minorEastAsia" w:eastAsiaTheme="minorEastAsia"/>
          <w:lang w:val="en-US" w:eastAsia="zh-CN"/>
        </w:rPr>
        <w:t>商务评分较高的</w:t>
      </w:r>
      <w:r>
        <w:rPr>
          <w:rFonts w:hint="eastAsia" w:asciiTheme="minorEastAsia" w:hAnsiTheme="minorEastAsia" w:eastAsiaTheme="minorEastAsia"/>
          <w:lang w:eastAsia="zh-CN"/>
        </w:rPr>
        <w:t>投标人排名优先。“评分汇总表”应由所有评委核实并签字确认。</w:t>
      </w:r>
    </w:p>
    <w:p>
      <w:pPr>
        <w:tabs>
          <w:tab w:val="left" w:pos="360"/>
        </w:tabs>
        <w:spacing w:line="440" w:lineRule="exact"/>
        <w:ind w:left="360" w:hanging="360"/>
        <w:rPr>
          <w:rFonts w:hint="default" w:asciiTheme="minorEastAsia" w:hAnsiTheme="minorEastAsia" w:eastAsiaTheme="minorEastAsia"/>
          <w:b/>
          <w:bCs/>
          <w:highlight w:val="none"/>
          <w:lang w:val="en-US" w:eastAsia="zh-CN"/>
        </w:rPr>
      </w:pPr>
      <w:r>
        <w:rPr>
          <w:rFonts w:asciiTheme="minorEastAsia" w:hAnsiTheme="minorEastAsia" w:eastAsiaTheme="minorEastAsia"/>
          <w:b/>
          <w:bCs/>
          <w:highlight w:val="none"/>
          <w:lang w:eastAsia="zh-CN"/>
        </w:rPr>
        <w:t>5</w:t>
      </w:r>
      <w:r>
        <w:rPr>
          <w:rFonts w:hint="eastAsia" w:asciiTheme="minorEastAsia" w:hAnsiTheme="minorEastAsia" w:eastAsiaTheme="minorEastAsia"/>
          <w:b/>
          <w:bCs/>
          <w:highlight w:val="none"/>
          <w:lang w:eastAsia="zh-CN"/>
        </w:rPr>
        <w:t>、</w:t>
      </w:r>
      <w:r>
        <w:rPr>
          <w:rFonts w:hint="eastAsia" w:asciiTheme="minorEastAsia" w:hAnsiTheme="minorEastAsia" w:eastAsiaTheme="minorEastAsia"/>
          <w:b/>
          <w:bCs/>
          <w:highlight w:val="none"/>
          <w:lang w:val="en-US" w:eastAsia="zh-CN"/>
        </w:rPr>
        <w:t>评审意见</w:t>
      </w:r>
    </w:p>
    <w:p>
      <w:pPr>
        <w:spacing w:line="440" w:lineRule="exact"/>
        <w:ind w:firstLine="525"/>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评标委员会</w:t>
      </w:r>
      <w:r>
        <w:rPr>
          <w:rFonts w:hint="eastAsia" w:asciiTheme="minorEastAsia" w:hAnsiTheme="minorEastAsia" w:eastAsiaTheme="minorEastAsia"/>
          <w:highlight w:val="none"/>
          <w:lang w:eastAsia="zh-CN"/>
        </w:rPr>
        <w:t>对评标结果进行总结，出具</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w:t>
      </w:r>
    </w:p>
    <w:p>
      <w:pPr>
        <w:spacing w:line="360" w:lineRule="auto"/>
        <w:ind w:firstLine="525"/>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2</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应经</w:t>
      </w:r>
      <w:r>
        <w:rPr>
          <w:rFonts w:hint="eastAsia" w:asciiTheme="minorEastAsia" w:hAnsiTheme="minorEastAsia" w:eastAsiaTheme="minorEastAsia"/>
          <w:highlight w:val="none"/>
          <w:lang w:val="en-US" w:eastAsia="zh-CN"/>
        </w:rPr>
        <w:t>评标委员会全体</w:t>
      </w:r>
      <w:r>
        <w:rPr>
          <w:rFonts w:hint="eastAsia" w:asciiTheme="minorEastAsia" w:hAnsiTheme="minorEastAsia" w:eastAsiaTheme="minorEastAsia"/>
          <w:highlight w:val="none"/>
          <w:lang w:eastAsia="zh-CN"/>
        </w:rPr>
        <w:t>成员签字生效。如果有评委不同意该</w:t>
      </w:r>
      <w:r>
        <w:rPr>
          <w:rFonts w:hint="eastAsia" w:asciiTheme="minorEastAsia" w:hAnsiTheme="minorEastAsia" w:eastAsiaTheme="minorEastAsia"/>
          <w:highlight w:val="none"/>
          <w:lang w:val="en-US" w:eastAsia="zh-CN"/>
        </w:rPr>
        <w:t>评审意见</w:t>
      </w:r>
      <w:r>
        <w:rPr>
          <w:rFonts w:hint="eastAsia" w:asciiTheme="minorEastAsia" w:hAnsiTheme="minorEastAsia" w:eastAsiaTheme="minorEastAsia"/>
          <w:highlight w:val="none"/>
          <w:lang w:eastAsia="zh-CN"/>
        </w:rPr>
        <w:t>，可随该</w:t>
      </w:r>
      <w:r>
        <w:rPr>
          <w:rFonts w:hint="eastAsia" w:asciiTheme="minorEastAsia" w:hAnsiTheme="minorEastAsia" w:eastAsiaTheme="minorEastAsia"/>
          <w:highlight w:val="none"/>
          <w:lang w:val="en-US" w:eastAsia="zh-CN"/>
        </w:rPr>
        <w:t>意见</w:t>
      </w:r>
      <w:r>
        <w:rPr>
          <w:rFonts w:hint="eastAsia" w:asciiTheme="minorEastAsia" w:hAnsiTheme="minorEastAsia" w:eastAsiaTheme="minorEastAsia"/>
          <w:highlight w:val="none"/>
          <w:lang w:eastAsia="zh-CN"/>
        </w:rPr>
        <w:t>提交一份说明，详细阐述自己的意见和理由。</w:t>
      </w:r>
    </w:p>
    <w:p>
      <w:pPr>
        <w:tabs>
          <w:tab w:val="left" w:pos="360"/>
        </w:tabs>
        <w:spacing w:line="360" w:lineRule="auto"/>
        <w:ind w:left="360" w:hanging="360"/>
        <w:rPr>
          <w:rFonts w:asciiTheme="minorEastAsia" w:hAnsiTheme="minorEastAsia" w:eastAsiaTheme="minorEastAsia"/>
          <w:b/>
          <w:bCs/>
          <w:lang w:eastAsia="zh-CN"/>
        </w:rPr>
      </w:pPr>
      <w:r>
        <w:rPr>
          <w:rFonts w:asciiTheme="minorEastAsia" w:hAnsiTheme="minorEastAsia" w:eastAsiaTheme="minorEastAsia"/>
          <w:b/>
          <w:bCs/>
          <w:lang w:eastAsia="zh-CN"/>
        </w:rPr>
        <w:t>6</w:t>
      </w:r>
      <w:r>
        <w:rPr>
          <w:rFonts w:hint="eastAsia" w:asciiTheme="minorEastAsia" w:hAnsiTheme="minorEastAsia" w:eastAsiaTheme="minorEastAsia"/>
          <w:b/>
          <w:bCs/>
          <w:lang w:eastAsia="zh-CN"/>
        </w:rPr>
        <w:t>、评标决议</w:t>
      </w:r>
    </w:p>
    <w:p>
      <w:pPr>
        <w:spacing w:line="360" w:lineRule="auto"/>
        <w:rPr>
          <w:rFonts w:asciiTheme="minorEastAsia" w:hAnsiTheme="minorEastAsia" w:eastAsiaTheme="minorEastAsia"/>
          <w:lang w:eastAsia="zh-CN"/>
        </w:rPr>
      </w:pPr>
      <w:r>
        <w:rPr>
          <w:rFonts w:asciiTheme="minorEastAsia" w:hAnsiTheme="minorEastAsia" w:eastAsiaTheme="minorEastAsia"/>
          <w:lang w:eastAsia="zh-CN"/>
        </w:rPr>
        <w:tab/>
      </w:r>
      <w:r>
        <w:rPr>
          <w:rFonts w:hint="eastAsia" w:asciiTheme="minorEastAsia" w:hAnsiTheme="minorEastAsia" w:eastAsiaTheme="minorEastAsia"/>
          <w:lang w:eastAsia="zh-CN"/>
        </w:rPr>
        <w:t>在评标过程中</w:t>
      </w:r>
      <w:r>
        <w:rPr>
          <w:rFonts w:hint="eastAsia" w:asciiTheme="minorEastAsia" w:hAnsiTheme="minorEastAsia" w:eastAsiaTheme="minorEastAsia"/>
          <w:lang w:val="en-US" w:eastAsia="zh-CN"/>
        </w:rPr>
        <w:t>评委</w:t>
      </w:r>
      <w:r>
        <w:rPr>
          <w:rFonts w:hint="eastAsia" w:asciiTheme="minorEastAsia" w:hAnsiTheme="minorEastAsia" w:eastAsiaTheme="minorEastAsia"/>
          <w:lang w:eastAsia="zh-CN"/>
        </w:rPr>
        <w:t>出现分歧或须进行讨论形成决议时，应</w:t>
      </w:r>
      <w:r>
        <w:rPr>
          <w:rFonts w:hint="eastAsia" w:asciiTheme="minorEastAsia" w:hAnsiTheme="minorEastAsia" w:eastAsiaTheme="minorEastAsia"/>
          <w:lang w:val="en-US" w:eastAsia="zh-CN"/>
        </w:rPr>
        <w:t>在</w:t>
      </w:r>
      <w:r>
        <w:rPr>
          <w:rFonts w:hint="eastAsia" w:asciiTheme="minorEastAsia" w:hAnsiTheme="minorEastAsia" w:eastAsiaTheme="minorEastAsia"/>
          <w:lang w:eastAsia="zh-CN"/>
        </w:rPr>
        <w:t>各评委充分讨论沟通的基础上，进行自由记名投票表决，决议必须有不少于</w:t>
      </w:r>
      <w:r>
        <w:rPr>
          <w:rFonts w:hint="eastAsia" w:asciiTheme="minorEastAsia" w:hAnsiTheme="minorEastAsia" w:eastAsiaTheme="minorEastAsia"/>
          <w:lang w:val="en-US" w:eastAsia="zh-CN"/>
        </w:rPr>
        <w:t>评标委员会成员</w:t>
      </w:r>
      <w:r>
        <w:rPr>
          <w:rFonts w:hint="eastAsia" w:asciiTheme="minorEastAsia" w:hAnsiTheme="minorEastAsia" w:eastAsiaTheme="minorEastAsia"/>
          <w:lang w:eastAsia="zh-CN"/>
        </w:rPr>
        <w:t>总数的</w:t>
      </w:r>
      <w:r>
        <w:rPr>
          <w:rFonts w:asciiTheme="minorEastAsia" w:hAnsiTheme="minorEastAsia" w:eastAsiaTheme="minorEastAsia"/>
          <w:lang w:eastAsia="zh-CN"/>
        </w:rPr>
        <w:t>2/3</w:t>
      </w:r>
      <w:r>
        <w:rPr>
          <w:rFonts w:hint="eastAsia" w:asciiTheme="minorEastAsia" w:hAnsiTheme="minorEastAsia" w:eastAsiaTheme="minorEastAsia"/>
          <w:lang w:eastAsia="zh-CN"/>
        </w:rPr>
        <w:t>的赞成方可通过。</w:t>
      </w:r>
    </w:p>
    <w:p>
      <w:pPr>
        <w:keepNext/>
        <w:keepLines/>
        <w:spacing w:before="260" w:after="260" w:line="415" w:lineRule="auto"/>
        <w:jc w:val="center"/>
        <w:outlineLvl w:val="1"/>
        <w:rPr>
          <w:rFonts w:cs="Arial" w:asciiTheme="minorEastAsia" w:hAnsiTheme="minorEastAsia" w:eastAsiaTheme="minorEastAsia"/>
          <w:b/>
          <w:lang w:eastAsia="zh-CN"/>
        </w:rPr>
      </w:pPr>
      <w:bookmarkStart w:id="277" w:name="_Toc465350716"/>
      <w:bookmarkStart w:id="278" w:name="_Toc411245430"/>
      <w:bookmarkStart w:id="279" w:name="_Toc324152539"/>
      <w:bookmarkStart w:id="280" w:name="_Toc3290"/>
      <w:bookmarkStart w:id="281" w:name="_Toc236555318"/>
      <w:r>
        <w:rPr>
          <w:rFonts w:hint="eastAsia" w:cs="Arial" w:asciiTheme="minorEastAsia" w:hAnsiTheme="minorEastAsia" w:eastAsiaTheme="minorEastAsia"/>
          <w:b/>
          <w:lang w:eastAsia="zh-CN"/>
        </w:rPr>
        <w:t>三、评分标准</w:t>
      </w:r>
      <w:bookmarkEnd w:id="277"/>
      <w:bookmarkEnd w:id="278"/>
      <w:bookmarkEnd w:id="279"/>
      <w:bookmarkEnd w:id="280"/>
      <w:bookmarkEnd w:id="281"/>
    </w:p>
    <w:p>
      <w:pPr>
        <w:tabs>
          <w:tab w:val="left" w:pos="420"/>
        </w:tabs>
        <w:spacing w:line="360" w:lineRule="auto"/>
        <w:rPr>
          <w:rFonts w:asciiTheme="minorEastAsia" w:hAnsiTheme="minorEastAsia" w:eastAsiaTheme="minorEastAsia"/>
          <w:lang w:eastAsia="zh-CN"/>
        </w:rPr>
      </w:pPr>
      <w:r>
        <w:rPr>
          <w:rFonts w:hint="eastAsia" w:asciiTheme="minorEastAsia" w:hAnsiTheme="minorEastAsia" w:eastAsiaTheme="minorEastAsia"/>
          <w:lang w:eastAsia="zh-CN"/>
        </w:rPr>
        <w:t>一、投标人的资格条件：</w:t>
      </w:r>
    </w:p>
    <w:p>
      <w:pPr>
        <w:adjustRightInd w:val="0"/>
        <w:snapToGrid w:val="0"/>
        <w:spacing w:line="360" w:lineRule="auto"/>
        <w:rPr>
          <w:rFonts w:hint="eastAsia" w:ascii="宋体" w:hAnsi="宋体" w:cs="宋体"/>
          <w:szCs w:val="21"/>
        </w:rPr>
      </w:pPr>
      <w:r>
        <w:rPr>
          <w:rFonts w:hint="eastAsia" w:ascii="宋体" w:hAnsi="宋体" w:cs="宋体"/>
          <w:szCs w:val="21"/>
        </w:rPr>
        <w:t>凡具备《中华人民共和国政府采购法》第二十二条第一款的条件、有能力提供本投标文件所述货物及服务的境内供货商或制造商均可能成为合格的供应商。供应商须提交以下有效证明文件：</w:t>
      </w:r>
    </w:p>
    <w:p>
      <w:pPr>
        <w:adjustRightInd w:val="0"/>
        <w:snapToGrid w:val="0"/>
        <w:spacing w:line="360" w:lineRule="auto"/>
        <w:rPr>
          <w:rFonts w:hint="eastAsia" w:ascii="宋体" w:hAnsi="宋体" w:cs="宋体"/>
          <w:szCs w:val="21"/>
        </w:rPr>
      </w:pPr>
      <w:r>
        <w:rPr>
          <w:rFonts w:hint="eastAsia" w:ascii="宋体" w:hAnsi="宋体" w:cs="宋体"/>
          <w:szCs w:val="21"/>
        </w:rPr>
        <w:t>（1）投标函。</w:t>
      </w:r>
    </w:p>
    <w:p>
      <w:pPr>
        <w:adjustRightInd w:val="0"/>
        <w:snapToGrid w:val="0"/>
        <w:spacing w:line="360" w:lineRule="auto"/>
        <w:rPr>
          <w:rFonts w:hint="eastAsia" w:ascii="宋体" w:hAnsi="宋体" w:cs="宋体"/>
          <w:szCs w:val="21"/>
        </w:rPr>
      </w:pPr>
      <w:r>
        <w:rPr>
          <w:rFonts w:hint="eastAsia" w:ascii="宋体" w:hAnsi="宋体" w:cs="宋体"/>
          <w:szCs w:val="21"/>
        </w:rPr>
        <w:t>（2）单位负责人授权书（法定代表人和投标代表人身份证复印件）。</w:t>
      </w:r>
    </w:p>
    <w:p>
      <w:pPr>
        <w:adjustRightInd w:val="0"/>
        <w:snapToGrid w:val="0"/>
        <w:spacing w:line="360" w:lineRule="auto"/>
        <w:rPr>
          <w:rFonts w:hint="eastAsia" w:ascii="宋体" w:hAnsi="宋体" w:cs="宋体"/>
          <w:szCs w:val="21"/>
        </w:rPr>
      </w:pPr>
      <w:r>
        <w:rPr>
          <w:rFonts w:hint="eastAsia" w:ascii="宋体" w:hAnsi="宋体" w:cs="宋体"/>
          <w:szCs w:val="21"/>
        </w:rPr>
        <w:t>（3）法人或者其他组织的营业执照等证明文件，自然人的身份证明。</w:t>
      </w:r>
    </w:p>
    <w:p>
      <w:pPr>
        <w:adjustRightInd w:val="0"/>
        <w:snapToGrid w:val="0"/>
        <w:spacing w:line="360" w:lineRule="auto"/>
        <w:rPr>
          <w:rFonts w:hint="eastAsia" w:ascii="宋体" w:hAnsi="宋体" w:cs="宋体"/>
          <w:szCs w:val="21"/>
        </w:rPr>
      </w:pPr>
      <w:r>
        <w:rPr>
          <w:rFonts w:hint="eastAsia" w:ascii="宋体" w:hAnsi="宋体" w:cs="宋体"/>
          <w:szCs w:val="21"/>
        </w:rPr>
        <w:t>（4）提供上一年度或上一季度财务报告，至少包括“资产负债表、利润表、现金流量表”；或者提供开户许可证和投标截止时间前六个月内基本开户银行出具的资信证明；或者提供财政部门认可的政府采购专业担保机构出具的投标担保函。</w:t>
      </w:r>
    </w:p>
    <w:p>
      <w:pPr>
        <w:adjustRightInd w:val="0"/>
        <w:snapToGrid w:val="0"/>
        <w:spacing w:line="360" w:lineRule="auto"/>
        <w:rPr>
          <w:rFonts w:hint="eastAsia" w:ascii="宋体" w:hAnsi="宋体" w:cs="宋体"/>
          <w:szCs w:val="21"/>
        </w:rPr>
      </w:pPr>
      <w:r>
        <w:rPr>
          <w:rFonts w:hint="eastAsia" w:ascii="宋体" w:hAnsi="宋体" w:cs="宋体"/>
          <w:szCs w:val="21"/>
        </w:rPr>
        <w:t>（5）提供投标截止时间前六个月任一个月的依法缴纳税收的凭据；或者提供依法免税的相应证明文件。</w:t>
      </w:r>
    </w:p>
    <w:p>
      <w:pPr>
        <w:adjustRightInd w:val="0"/>
        <w:snapToGrid w:val="0"/>
        <w:spacing w:line="360" w:lineRule="auto"/>
        <w:rPr>
          <w:rFonts w:hint="eastAsia" w:ascii="宋体" w:hAnsi="宋体" w:cs="宋体"/>
          <w:szCs w:val="21"/>
        </w:rPr>
      </w:pPr>
      <w:r>
        <w:rPr>
          <w:rFonts w:hint="eastAsia" w:ascii="宋体" w:hAnsi="宋体" w:cs="宋体"/>
          <w:szCs w:val="21"/>
        </w:rPr>
        <w:t>（6）提供投标截止时间前六个月任一个月的依法缴纳社会保障资金的凭据；或者提供依法不需要缴纳社会保障资金的相应证明文件。</w:t>
      </w:r>
    </w:p>
    <w:p>
      <w:pPr>
        <w:pStyle w:val="491"/>
        <w:spacing w:line="360" w:lineRule="auto"/>
        <w:ind w:firstLine="0" w:firstLineChars="0"/>
        <w:rPr>
          <w:rFonts w:hint="eastAsia" w:asciiTheme="minorEastAsia" w:hAnsiTheme="minorEastAsia" w:eastAsiaTheme="minorEastAsia"/>
          <w:highlight w:val="none"/>
          <w:lang w:val="en-US" w:eastAsia="zh-CN"/>
        </w:rPr>
      </w:pPr>
      <w:r>
        <w:rPr>
          <w:rFonts w:hint="eastAsia" w:ascii="宋体" w:hAnsi="宋体" w:cs="宋体"/>
          <w:szCs w:val="21"/>
        </w:rPr>
        <w:t>（7）</w:t>
      </w:r>
      <w:r>
        <w:rPr>
          <w:rFonts w:hint="eastAsia" w:asciiTheme="minorEastAsia" w:hAnsiTheme="minorEastAsia" w:eastAsiaTheme="minorEastAsia"/>
          <w:lang w:eastAsia="zh-CN"/>
        </w:rPr>
        <w:t>具有履行合同所必需的</w:t>
      </w:r>
      <w:r>
        <w:rPr>
          <w:rFonts w:hint="eastAsia" w:asciiTheme="minorEastAsia" w:hAnsiTheme="minorEastAsia" w:eastAsiaTheme="minorEastAsia"/>
          <w:lang w:val="en-US" w:eastAsia="zh-CN"/>
        </w:rPr>
        <w:t>行业经验及资金实力</w:t>
      </w:r>
      <w:r>
        <w:rPr>
          <w:rFonts w:hint="eastAsia" w:asciiTheme="minorEastAsia" w:hAnsiTheme="minorEastAsia" w:eastAsiaTheme="minorEastAsia"/>
          <w:lang w:eastAsia="zh-CN"/>
        </w:rPr>
        <w:t>，</w:t>
      </w:r>
      <w:r>
        <w:rPr>
          <w:rFonts w:hint="eastAsia" w:asciiTheme="minorEastAsia" w:hAnsiTheme="minorEastAsia" w:eastAsiaTheme="minorEastAsia"/>
          <w:highlight w:val="none"/>
          <w:lang w:eastAsia="zh-CN"/>
        </w:rPr>
        <w:t>投标公司必须</w:t>
      </w:r>
      <w:r>
        <w:rPr>
          <w:rFonts w:hint="eastAsia" w:asciiTheme="minorEastAsia" w:hAnsiTheme="minorEastAsia" w:eastAsiaTheme="minorEastAsia"/>
          <w:highlight w:val="none"/>
          <w:lang w:val="en-US" w:eastAsia="zh-CN"/>
        </w:rPr>
        <w:t>注册满5年，注册资本需不低于500万元人民币。</w:t>
      </w:r>
    </w:p>
    <w:p>
      <w:pPr>
        <w:adjustRightInd w:val="0"/>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）单位负责人为同一人或者存在控股、管理关系的不同单位，不得参加同一标段或者未划分标段的同一招标项目投标</w:t>
      </w:r>
    </w:p>
    <w:p>
      <w:pPr>
        <w:adjustRightInd w:val="0"/>
        <w:snapToGrid w:val="0"/>
        <w:spacing w:line="360" w:lineRule="auto"/>
        <w:rPr>
          <w:rFonts w:hint="eastAsia" w:ascii="宋体" w:hAnsi="宋体" w:cs="宋体"/>
          <w:szCs w:val="21"/>
        </w:rPr>
      </w:pPr>
      <w:r>
        <w:rPr>
          <w:rFonts w:hint="eastAsia" w:ascii="宋体" w:hAnsi="宋体" w:cs="宋体"/>
          <w:szCs w:val="21"/>
        </w:rPr>
        <w:t>（9）本次招标不接受联合体投标。</w:t>
      </w:r>
    </w:p>
    <w:p>
      <w:pPr>
        <w:adjustRightInd w:val="0"/>
        <w:snapToGrid w:val="0"/>
        <w:spacing w:line="360" w:lineRule="auto"/>
        <w:rPr>
          <w:rFonts w:hint="eastAsia" w:ascii="宋体" w:hAnsi="宋体" w:cs="宋体"/>
          <w:szCs w:val="21"/>
        </w:rPr>
      </w:pPr>
      <w:r>
        <w:rPr>
          <w:rFonts w:hint="eastAsia" w:ascii="宋体" w:hAnsi="宋体" w:cs="宋体"/>
          <w:szCs w:val="21"/>
        </w:rPr>
        <w:t>以上所有资格证明文件必须同时满足，若有一项审核未通过视为没有实质性响应招标文件要求，按无效投标处理。提供的所有资格类文件资料应是有效、清晰。复印件加盖投标人公章，否则无效，原件备查。评标委员会对投标人所提供的资格类文件仅负审核责任。即使投标人所提交的资格类文件通过了审核，在评标过程中乃至确定中标人后，如发现投标人所提供的资格类文件不合法或不真实，仍可废除中标人中标资格并追究其法律责任。</w:t>
      </w:r>
    </w:p>
    <w:p>
      <w:pPr>
        <w:pStyle w:val="2"/>
        <w:rPr>
          <w:rFonts w:hint="eastAsia"/>
        </w:rPr>
      </w:pPr>
    </w:p>
    <w:p>
      <w:pPr>
        <w:numPr>
          <w:ilvl w:val="0"/>
          <w:numId w:val="42"/>
        </w:numPr>
        <w:rPr>
          <w:rFonts w:asciiTheme="minorEastAsia" w:hAnsiTheme="minorEastAsia" w:eastAsiaTheme="minorEastAsia"/>
        </w:rPr>
      </w:pPr>
      <w:r>
        <w:rPr>
          <w:rFonts w:hint="eastAsia" w:asciiTheme="minorEastAsia" w:hAnsiTheme="minorEastAsia" w:eastAsiaTheme="minorEastAsia"/>
        </w:rPr>
        <w:t>评分办法</w:t>
      </w:r>
    </w:p>
    <w:p>
      <w:pPr>
        <w:rPr>
          <w:rFonts w:asciiTheme="minorEastAsia" w:hAnsiTheme="minorEastAsia" w:eastAsiaTheme="minorEastAsia"/>
          <w:lang w:eastAsia="zh-CN"/>
        </w:rPr>
      </w:pPr>
      <w:r>
        <w:rPr>
          <w:rFonts w:hint="eastAsia" w:asciiTheme="minorEastAsia" w:hAnsiTheme="minorEastAsia" w:eastAsiaTheme="minorEastAsia"/>
          <w:lang w:eastAsia="zh-CN"/>
        </w:rPr>
        <w:t>1、分值构成</w:t>
      </w:r>
    </w:p>
    <w:tbl>
      <w:tblPr>
        <w:tblStyle w:val="38"/>
        <w:tblW w:w="10578"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701"/>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54" w:type="dxa"/>
          </w:tcPr>
          <w:p>
            <w:pPr>
              <w:spacing w:line="440" w:lineRule="exact"/>
              <w:rPr>
                <w:rFonts w:asciiTheme="minorEastAsia" w:hAnsiTheme="minorEastAsia" w:eastAsiaTheme="minorEastAsia"/>
                <w:b/>
              </w:rPr>
            </w:pPr>
            <w:r>
              <w:rPr>
                <w:rFonts w:asciiTheme="minorEastAsia" w:hAnsiTheme="minorEastAsia" w:eastAsiaTheme="minorEastAsia"/>
                <w:b/>
              </w:rPr>
              <w:t>条款号</w:t>
            </w:r>
          </w:p>
        </w:tc>
        <w:tc>
          <w:tcPr>
            <w:tcW w:w="1701" w:type="dxa"/>
          </w:tcPr>
          <w:p>
            <w:pPr>
              <w:spacing w:line="440" w:lineRule="exact"/>
              <w:rPr>
                <w:rFonts w:asciiTheme="minorEastAsia" w:hAnsiTheme="minorEastAsia" w:eastAsiaTheme="minorEastAsia"/>
                <w:b/>
              </w:rPr>
            </w:pPr>
            <w:r>
              <w:rPr>
                <w:rFonts w:asciiTheme="minorEastAsia" w:hAnsiTheme="minorEastAsia" w:eastAsiaTheme="minorEastAsia"/>
                <w:b/>
              </w:rPr>
              <w:t>条款内容</w:t>
            </w:r>
          </w:p>
        </w:tc>
        <w:tc>
          <w:tcPr>
            <w:tcW w:w="7823" w:type="dxa"/>
          </w:tcPr>
          <w:p>
            <w:pPr>
              <w:spacing w:line="440" w:lineRule="exact"/>
              <w:rPr>
                <w:rFonts w:asciiTheme="minorEastAsia" w:hAnsiTheme="minorEastAsia" w:eastAsiaTheme="minorEastAsia"/>
                <w:b/>
              </w:rPr>
            </w:pPr>
            <w:r>
              <w:rPr>
                <w:rFonts w:asciiTheme="minorEastAsia" w:hAnsiTheme="minorEastAsia" w:eastAsia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54" w:type="dxa"/>
          </w:tcPr>
          <w:p>
            <w:pPr>
              <w:spacing w:line="440" w:lineRule="exact"/>
              <w:rPr>
                <w:rFonts w:asciiTheme="minorEastAsia" w:hAnsiTheme="minorEastAsia" w:eastAsiaTheme="minorEastAsia"/>
              </w:rPr>
            </w:pPr>
            <w:r>
              <w:rPr>
                <w:rFonts w:hint="eastAsia" w:asciiTheme="minorEastAsia" w:hAnsiTheme="minorEastAsia" w:eastAsiaTheme="minorEastAsia"/>
              </w:rPr>
              <w:t>1</w:t>
            </w:r>
          </w:p>
        </w:tc>
        <w:tc>
          <w:tcPr>
            <w:tcW w:w="1701" w:type="dxa"/>
            <w:vAlign w:val="center"/>
          </w:tcPr>
          <w:p>
            <w:pPr>
              <w:adjustRightInd w:val="0"/>
              <w:snapToGrid w:val="0"/>
              <w:textAlignment w:val="baseline"/>
              <w:rPr>
                <w:rFonts w:asciiTheme="minorEastAsia" w:hAnsiTheme="minorEastAsia" w:eastAsiaTheme="minorEastAsia"/>
              </w:rPr>
            </w:pPr>
            <w:r>
              <w:rPr>
                <w:rFonts w:asciiTheme="minorEastAsia" w:hAnsiTheme="minorEastAsia" w:eastAsiaTheme="minorEastAsia"/>
              </w:rPr>
              <w:t>分值构成</w:t>
            </w:r>
          </w:p>
          <w:p>
            <w:pPr>
              <w:adjustRightInd w:val="0"/>
              <w:snapToGrid w:val="0"/>
              <w:textAlignment w:val="baseline"/>
              <w:rPr>
                <w:rFonts w:asciiTheme="minorEastAsia" w:hAnsiTheme="minorEastAsia" w:eastAsiaTheme="minorEastAsia"/>
                <w:b/>
              </w:rPr>
            </w:pPr>
            <w:r>
              <w:rPr>
                <w:rFonts w:asciiTheme="minorEastAsia" w:hAnsiTheme="minorEastAsia" w:eastAsiaTheme="minorEastAsia"/>
              </w:rPr>
              <w:t>(总分100分)</w:t>
            </w:r>
          </w:p>
        </w:tc>
        <w:tc>
          <w:tcPr>
            <w:tcW w:w="7823" w:type="dxa"/>
            <w:vAlign w:val="center"/>
          </w:tcPr>
          <w:p>
            <w:pPr>
              <w:adjustRightInd w:val="0"/>
              <w:snapToGrid w:val="0"/>
              <w:textAlignment w:val="baseline"/>
              <w:rPr>
                <w:rFonts w:hint="default" w:asciiTheme="minorEastAsia" w:hAnsiTheme="minorEastAsia" w:eastAsiaTheme="minorEastAsia"/>
                <w:lang w:val="en-US" w:eastAsia="zh-CN"/>
              </w:rPr>
            </w:pPr>
            <w:r>
              <w:rPr>
                <w:rFonts w:hint="eastAsia" w:asciiTheme="minorEastAsia" w:hAnsiTheme="minorEastAsia" w:eastAsiaTheme="minorEastAsia"/>
                <w:lang w:eastAsia="zh-CN"/>
              </w:rPr>
              <w:t>总分100分，其中报价1</w:t>
            </w:r>
            <w:r>
              <w:rPr>
                <w:rFonts w:hint="eastAsia" w:asciiTheme="minorEastAsia" w:hAnsiTheme="minorEastAsia" w:eastAsiaTheme="minorEastAsia"/>
                <w:lang w:val="en-US" w:eastAsia="zh-CN"/>
              </w:rPr>
              <w:t>0</w:t>
            </w:r>
            <w:r>
              <w:rPr>
                <w:rFonts w:hint="eastAsia" w:asciiTheme="minorEastAsia" w:hAnsiTheme="minorEastAsia" w:eastAsiaTheme="minorEastAsia"/>
                <w:lang w:eastAsia="zh-CN"/>
              </w:rPr>
              <w:t>分；</w:t>
            </w:r>
            <w:r>
              <w:rPr>
                <w:rFonts w:hint="eastAsia" w:asciiTheme="minorEastAsia" w:hAnsiTheme="minorEastAsia" w:eastAsiaTheme="minorEastAsia"/>
                <w:lang w:val="en-US" w:eastAsia="zh-CN"/>
              </w:rPr>
              <w:t>技术部分55分；商务部分35分。</w:t>
            </w:r>
          </w:p>
        </w:tc>
      </w:tr>
    </w:tbl>
    <w:p>
      <w:pPr>
        <w:rPr>
          <w:rFonts w:cs="宋体" w:asciiTheme="minorEastAsia" w:hAnsiTheme="minorEastAsia" w:eastAsiaTheme="minorEastAsia"/>
          <w:lang w:eastAsia="zh-CN"/>
        </w:rPr>
      </w:pPr>
    </w:p>
    <w:p>
      <w:pPr>
        <w:rPr>
          <w:rFonts w:cs="宋体" w:asciiTheme="minorEastAsia" w:hAnsiTheme="minorEastAsia" w:eastAsiaTheme="minorEastAsia"/>
          <w:lang w:eastAsia="zh-CN"/>
        </w:rPr>
      </w:pPr>
      <w:r>
        <w:rPr>
          <w:rFonts w:hint="eastAsia" w:cs="宋体" w:asciiTheme="minorEastAsia" w:hAnsiTheme="minorEastAsia" w:eastAsiaTheme="minorEastAsia"/>
          <w:lang w:eastAsia="zh-CN"/>
        </w:rPr>
        <w:t>2、投标报价（</w:t>
      </w:r>
      <w:r>
        <w:rPr>
          <w:rFonts w:hint="eastAsia" w:cs="宋体" w:asciiTheme="minorEastAsia" w:hAnsiTheme="minorEastAsia" w:eastAsiaTheme="minorEastAsia"/>
          <w:b/>
          <w:bCs/>
          <w:lang w:val="en-US" w:eastAsia="zh-CN"/>
        </w:rPr>
        <w:t>满分</w:t>
      </w:r>
      <w:r>
        <w:rPr>
          <w:rFonts w:hint="eastAsia" w:cs="宋体" w:asciiTheme="minorEastAsia" w:hAnsiTheme="minorEastAsia" w:eastAsiaTheme="minorEastAsia"/>
          <w:b/>
          <w:bCs/>
          <w:lang w:eastAsia="zh-CN"/>
        </w:rPr>
        <w:t>1</w:t>
      </w:r>
      <w:r>
        <w:rPr>
          <w:rFonts w:hint="eastAsia" w:cs="宋体" w:asciiTheme="minorEastAsia" w:hAnsiTheme="minorEastAsia" w:eastAsiaTheme="minorEastAsia"/>
          <w:b/>
          <w:bCs/>
          <w:lang w:val="en-US" w:eastAsia="zh-CN"/>
        </w:rPr>
        <w:t>0</w:t>
      </w:r>
      <w:r>
        <w:rPr>
          <w:rFonts w:hint="eastAsia" w:cs="宋体" w:asciiTheme="minorEastAsia" w:hAnsiTheme="minorEastAsia" w:eastAsiaTheme="minorEastAsia"/>
          <w:b/>
          <w:bCs/>
          <w:lang w:eastAsia="zh-CN"/>
        </w:rPr>
        <w:t>分</w:t>
      </w:r>
      <w:r>
        <w:rPr>
          <w:rFonts w:hint="eastAsia" w:cs="宋体" w:asciiTheme="minorEastAsia" w:hAnsiTheme="minorEastAsia" w:eastAsiaTheme="minorEastAsia"/>
          <w:lang w:eastAsia="zh-CN"/>
        </w:rPr>
        <w:t>）</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3"/>
        <w:gridCol w:w="992"/>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0" w:type="dxa"/>
            <w:vAlign w:val="center"/>
          </w:tcPr>
          <w:p>
            <w:pPr>
              <w:snapToGrid w:val="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序号</w:t>
            </w:r>
          </w:p>
        </w:tc>
        <w:tc>
          <w:tcPr>
            <w:tcW w:w="1843" w:type="dxa"/>
            <w:vAlign w:val="center"/>
          </w:tcPr>
          <w:p>
            <w:pPr>
              <w:snapToGrid w:val="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评分项目</w:t>
            </w:r>
          </w:p>
        </w:tc>
        <w:tc>
          <w:tcPr>
            <w:tcW w:w="992" w:type="dxa"/>
            <w:vAlign w:val="center"/>
          </w:tcPr>
          <w:p>
            <w:pPr>
              <w:snapToGrid w:val="0"/>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标准分</w:t>
            </w:r>
          </w:p>
        </w:tc>
        <w:tc>
          <w:tcPr>
            <w:tcW w:w="6375" w:type="dxa"/>
            <w:vAlign w:val="center"/>
          </w:tcPr>
          <w:p>
            <w:pPr>
              <w:snapToGrid w:val="0"/>
              <w:jc w:val="center"/>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70" w:type="dxa"/>
            <w:vAlign w:val="center"/>
          </w:tcPr>
          <w:p>
            <w:pPr>
              <w:spacing w:line="360" w:lineRule="auto"/>
              <w:jc w:val="center"/>
              <w:rPr>
                <w:rFonts w:cs="宋体" w:asciiTheme="minorEastAsia" w:hAnsiTheme="minorEastAsia" w:eastAsiaTheme="minorEastAsia"/>
                <w:color w:val="000000" w:themeColor="text1"/>
                <w14:textFill>
                  <w14:solidFill>
                    <w14:schemeClr w14:val="tx1"/>
                  </w14:solidFill>
                </w14:textFill>
              </w:rPr>
            </w:pPr>
            <w:r>
              <w:rPr>
                <w:rFonts w:hint="eastAsia" w:ascii="宋体" w:hAnsi="宋体" w:cs="宋体"/>
                <w:szCs w:val="21"/>
              </w:rPr>
              <w:t>1</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b/>
                <w:szCs w:val="21"/>
              </w:rPr>
              <w:t>投标价格</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Cs w:val="21"/>
              </w:rPr>
              <w:t>10</w:t>
            </w:r>
          </w:p>
        </w:tc>
        <w:tc>
          <w:tcPr>
            <w:tcW w:w="6375" w:type="dxa"/>
            <w:vAlign w:val="center"/>
          </w:tcPr>
          <w:p>
            <w:pPr>
              <w:spacing w:line="360" w:lineRule="auto"/>
              <w:ind w:firstLine="440" w:firstLineChars="200"/>
              <w:rPr>
                <w:rFonts w:hint="eastAsia" w:ascii="宋体" w:hAnsi="宋体" w:eastAsia="宋体" w:cs="宋体"/>
                <w:bCs/>
                <w:sz w:val="22"/>
                <w:szCs w:val="22"/>
                <w:lang w:val="en-US" w:eastAsia="zh-CN" w:bidi="en-US"/>
              </w:rPr>
            </w:pPr>
            <w:r>
              <w:rPr>
                <w:rFonts w:hint="eastAsia" w:ascii="宋体" w:hAnsi="宋体" w:cs="宋体"/>
                <w:szCs w:val="21"/>
              </w:rPr>
              <w:t>根据投标人的投报价，按照本公式进行计算得分：投标报价得分＝评标基准价÷有效投标报价×10，其中评标基准价为最低有效报价，价格分为满分10分，计算分数时四舍五入取小数点后两位。</w:t>
            </w:r>
          </w:p>
        </w:tc>
      </w:tr>
    </w:tbl>
    <w:p>
      <w:pPr>
        <w:adjustRightInd w:val="0"/>
        <w:snapToGrid w:val="0"/>
        <w:spacing w:before="120" w:after="120"/>
        <w:rPr>
          <w:rFonts w:asciiTheme="minorEastAsia" w:hAnsiTheme="minorEastAsia" w:eastAsiaTheme="minorEastAsia"/>
          <w:color w:val="000000" w:themeColor="text1"/>
          <w:lang w:eastAsia="zh-CN"/>
          <w14:textFill>
            <w14:solidFill>
              <w14:schemeClr w14:val="tx1"/>
            </w14:solidFill>
          </w14:textFill>
        </w:rPr>
      </w:pPr>
    </w:p>
    <w:p>
      <w:pPr>
        <w:adjustRightInd w:val="0"/>
        <w:snapToGrid w:val="0"/>
        <w:spacing w:before="120" w:after="120"/>
        <w:rPr>
          <w:rFonts w:asciiTheme="minorEastAsia" w:hAnsiTheme="minorEastAsia" w:eastAsiaTheme="minorEastAsia"/>
          <w:b/>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3</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技术部分</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eastAsia="zh-CN"/>
          <w14:textFill>
            <w14:solidFill>
              <w14:schemeClr w14:val="tx1"/>
            </w14:solidFill>
          </w14:textFill>
        </w:rPr>
        <w:t>（满分</w:t>
      </w:r>
      <w:r>
        <w:rPr>
          <w:rFonts w:hint="eastAsia" w:asciiTheme="minorEastAsia" w:hAnsiTheme="minorEastAsia" w:eastAsiaTheme="minorEastAsia"/>
          <w:b/>
          <w:color w:val="000000" w:themeColor="text1"/>
          <w:lang w:val="en-US" w:eastAsia="zh-CN"/>
          <w14:textFill>
            <w14:solidFill>
              <w14:schemeClr w14:val="tx1"/>
            </w14:solidFill>
          </w14:textFill>
        </w:rPr>
        <w:t>5</w:t>
      </w:r>
      <w:r>
        <w:rPr>
          <w:rFonts w:hint="eastAsia" w:asciiTheme="minorEastAsia" w:hAnsiTheme="minorEastAsia" w:eastAsiaTheme="minorEastAsia"/>
          <w:b/>
          <w:color w:val="000000" w:themeColor="text1"/>
          <w:lang w:eastAsia="zh-CN"/>
          <w14:textFill>
            <w14:solidFill>
              <w14:schemeClr w14:val="tx1"/>
            </w14:solidFill>
          </w14:textFill>
        </w:rPr>
        <w:t>5分）</w:t>
      </w:r>
    </w:p>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3"/>
        <w:gridCol w:w="992"/>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序号</w:t>
            </w:r>
          </w:p>
        </w:tc>
        <w:tc>
          <w:tcPr>
            <w:tcW w:w="1843"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评分项目</w:t>
            </w:r>
          </w:p>
        </w:tc>
        <w:tc>
          <w:tcPr>
            <w:tcW w:w="992"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标准分</w:t>
            </w:r>
          </w:p>
        </w:tc>
        <w:tc>
          <w:tcPr>
            <w:tcW w:w="6375"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1</w:t>
            </w:r>
          </w:p>
        </w:tc>
        <w:tc>
          <w:tcPr>
            <w:tcW w:w="1843"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rPr>
              <w:t>对招标服务要求的响应情况</w:t>
            </w:r>
          </w:p>
        </w:tc>
        <w:tc>
          <w:tcPr>
            <w:tcW w:w="992"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lang w:val="en-US" w:eastAsia="zh-CN"/>
              </w:rPr>
              <w:t>3</w:t>
            </w:r>
          </w:p>
        </w:tc>
        <w:tc>
          <w:tcPr>
            <w:tcW w:w="6375" w:type="dxa"/>
            <w:vAlign w:val="center"/>
          </w:tcPr>
          <w:p>
            <w:pPr>
              <w:adjustRightInd w:val="0"/>
              <w:snapToGrid w:val="0"/>
              <w:spacing w:line="360" w:lineRule="exact"/>
              <w:jc w:val="left"/>
              <w:textAlignment w:val="baseline"/>
              <w:rPr>
                <w:rFonts w:hint="eastAsia" w:ascii="宋体" w:hAnsi="宋体" w:eastAsia="宋体" w:cs="宋体"/>
                <w:bCs/>
                <w:sz w:val="22"/>
                <w:szCs w:val="22"/>
                <w:lang w:val="en-US" w:eastAsia="zh-CN" w:bidi="en-US"/>
              </w:rPr>
            </w:pPr>
            <w:r>
              <w:rPr>
                <w:rFonts w:hint="eastAsia" w:ascii="宋体" w:hAnsi="宋体" w:cs="宋体"/>
                <w:sz w:val="22"/>
                <w:szCs w:val="22"/>
              </w:rPr>
              <w:t>评委根据投标人对本合同包服务内容响应情况进行评价，全部满足“招标内容及要求” 的得</w:t>
            </w:r>
            <w:r>
              <w:rPr>
                <w:rFonts w:hint="eastAsia" w:ascii="宋体" w:hAnsi="宋体" w:cs="宋体"/>
                <w:sz w:val="22"/>
                <w:szCs w:val="22"/>
                <w:lang w:val="en-US" w:eastAsia="zh-CN"/>
              </w:rPr>
              <w:t>3</w:t>
            </w:r>
            <w:r>
              <w:rPr>
                <w:rFonts w:hint="eastAsia" w:ascii="宋体" w:hAnsi="宋体" w:cs="宋体"/>
                <w:sz w:val="22"/>
                <w:szCs w:val="22"/>
              </w:rPr>
              <w:t>分，每负偏离一项扣</w:t>
            </w:r>
            <w:r>
              <w:rPr>
                <w:rFonts w:hint="eastAsia" w:ascii="宋体" w:hAnsi="宋体" w:cs="宋体"/>
                <w:sz w:val="22"/>
                <w:szCs w:val="22"/>
                <w:lang w:val="en-US" w:eastAsia="zh-CN"/>
              </w:rPr>
              <w:t>0.5</w:t>
            </w:r>
            <w:r>
              <w:rPr>
                <w:rFonts w:hint="eastAsia" w:ascii="宋体" w:hAnsi="宋体" w:cs="宋体"/>
                <w:sz w:val="22"/>
                <w:szCs w:val="22"/>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2</w:t>
            </w:r>
          </w:p>
        </w:tc>
        <w:tc>
          <w:tcPr>
            <w:tcW w:w="1843"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lang w:val="en-US" w:eastAsia="zh-CN"/>
              </w:rPr>
              <w:t>主场服务</w:t>
            </w:r>
            <w:r>
              <w:rPr>
                <w:rFonts w:hint="eastAsia" w:ascii="宋体" w:hAnsi="宋体" w:cs="宋体"/>
                <w:sz w:val="22"/>
                <w:szCs w:val="22"/>
              </w:rPr>
              <w:t>方案</w:t>
            </w:r>
          </w:p>
        </w:tc>
        <w:tc>
          <w:tcPr>
            <w:tcW w:w="992" w:type="dxa"/>
            <w:vAlign w:val="center"/>
          </w:tcPr>
          <w:p>
            <w:pPr>
              <w:spacing w:line="360" w:lineRule="auto"/>
              <w:jc w:val="center"/>
              <w:rPr>
                <w:rFonts w:hint="eastAsia" w:ascii="宋体" w:hAnsi="宋体" w:eastAsia="宋体" w:cs="宋体"/>
                <w:spacing w:val="-20"/>
                <w:sz w:val="22"/>
                <w:szCs w:val="22"/>
                <w:lang w:val="en-US" w:eastAsia="en-US" w:bidi="en-US"/>
              </w:rPr>
            </w:pPr>
            <w:r>
              <w:rPr>
                <w:rFonts w:hint="eastAsia" w:ascii="宋体" w:hAnsi="宋体" w:cs="宋体"/>
                <w:sz w:val="22"/>
                <w:szCs w:val="22"/>
                <w:lang w:val="en-US" w:eastAsia="zh-CN"/>
              </w:rPr>
              <w:t>6</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根据各投标人</w:t>
            </w:r>
            <w:r>
              <w:rPr>
                <w:rFonts w:hint="eastAsia" w:ascii="宋体" w:hAnsi="宋体" w:cs="宋体"/>
                <w:sz w:val="22"/>
                <w:szCs w:val="22"/>
                <w:lang w:val="en-US" w:eastAsia="zh-CN"/>
              </w:rPr>
              <w:t>的</w:t>
            </w:r>
            <w:r>
              <w:rPr>
                <w:rFonts w:hint="eastAsia" w:ascii="宋体" w:hAnsi="宋体" w:cs="宋体"/>
                <w:sz w:val="22"/>
                <w:szCs w:val="22"/>
              </w:rPr>
              <w:t>展会</w:t>
            </w:r>
            <w:r>
              <w:rPr>
                <w:rFonts w:hint="eastAsia" w:ascii="宋体" w:hAnsi="宋体" w:cs="宋体"/>
                <w:sz w:val="22"/>
                <w:szCs w:val="22"/>
                <w:lang w:val="en-US" w:eastAsia="zh-CN"/>
              </w:rPr>
              <w:t>主场</w:t>
            </w:r>
            <w:r>
              <w:rPr>
                <w:rFonts w:hint="eastAsia" w:ascii="宋体" w:hAnsi="宋体" w:cs="宋体"/>
                <w:sz w:val="22"/>
                <w:szCs w:val="22"/>
              </w:rPr>
              <w:t>服务</w:t>
            </w:r>
            <w:r>
              <w:rPr>
                <w:rFonts w:hint="eastAsia" w:ascii="宋体" w:hAnsi="宋体" w:cs="宋体"/>
                <w:sz w:val="22"/>
                <w:szCs w:val="22"/>
                <w:lang w:val="en-US" w:eastAsia="zh-CN"/>
              </w:rPr>
              <w:t>方案</w:t>
            </w:r>
            <w:r>
              <w:rPr>
                <w:rFonts w:hint="eastAsia" w:ascii="宋体" w:hAnsi="宋体" w:cs="宋体"/>
                <w:sz w:val="22"/>
                <w:szCs w:val="22"/>
              </w:rPr>
              <w:t>，从内容的完整性、可行性等方面，由评委进行评分，优的得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3</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安全管理方案</w:t>
            </w:r>
          </w:p>
        </w:tc>
        <w:tc>
          <w:tcPr>
            <w:tcW w:w="992" w:type="dxa"/>
            <w:vAlign w:val="center"/>
          </w:tcPr>
          <w:p>
            <w:pPr>
              <w:spacing w:line="360" w:lineRule="auto"/>
              <w:jc w:val="center"/>
              <w:rPr>
                <w:rFonts w:hint="default" w:ascii="宋体" w:hAnsi="宋体" w:eastAsia="宋体" w:cs="宋体"/>
                <w:spacing w:val="-20"/>
                <w:sz w:val="22"/>
                <w:szCs w:val="22"/>
                <w:lang w:val="en-US" w:eastAsia="zh-CN" w:bidi="en-US"/>
              </w:rPr>
            </w:pPr>
            <w:r>
              <w:rPr>
                <w:rFonts w:hint="eastAsia" w:ascii="宋体" w:hAnsi="宋体" w:cs="宋体"/>
                <w:spacing w:val="-20"/>
                <w:sz w:val="22"/>
                <w:szCs w:val="22"/>
                <w:lang w:val="en-US" w:eastAsia="zh-CN" w:bidi="en-US"/>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根据各投标人</w:t>
            </w:r>
            <w:r>
              <w:rPr>
                <w:rFonts w:hint="eastAsia" w:ascii="宋体" w:hAnsi="宋体" w:cs="宋体"/>
                <w:sz w:val="22"/>
                <w:szCs w:val="22"/>
                <w:lang w:val="en-US" w:eastAsia="zh-CN"/>
              </w:rPr>
              <w:t>提交的展会现场安全管理方案</w:t>
            </w:r>
            <w:r>
              <w:rPr>
                <w:rFonts w:hint="eastAsia" w:ascii="宋体" w:hAnsi="宋体" w:cs="宋体"/>
                <w:sz w:val="22"/>
                <w:szCs w:val="22"/>
              </w:rPr>
              <w:t>，从内容的完整性、可行性等方面，由评委进行评分，优的得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pPr>
              <w:snapToGrid w:val="0"/>
              <w:jc w:val="cente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4</w:t>
            </w:r>
          </w:p>
        </w:tc>
        <w:tc>
          <w:tcPr>
            <w:tcW w:w="1843" w:type="dxa"/>
            <w:vAlign w:val="center"/>
          </w:tcPr>
          <w:p>
            <w:pPr>
              <w:spacing w:line="360" w:lineRule="auto"/>
              <w:jc w:val="center"/>
              <w:rPr>
                <w:rFonts w:hint="default" w:ascii="宋体" w:hAnsi="宋体" w:cs="宋体"/>
                <w:sz w:val="22"/>
                <w:szCs w:val="22"/>
                <w:lang w:val="en-US" w:eastAsia="zh-CN" w:bidi="en-US"/>
              </w:rPr>
            </w:pPr>
            <w:r>
              <w:rPr>
                <w:rFonts w:hint="eastAsia" w:ascii="宋体" w:hAnsi="宋体" w:cs="宋体"/>
                <w:sz w:val="22"/>
                <w:szCs w:val="22"/>
                <w:lang w:val="en-US" w:eastAsia="zh-CN" w:bidi="en-US"/>
              </w:rPr>
              <w:t>展会流程管理</w:t>
            </w:r>
          </w:p>
        </w:tc>
        <w:tc>
          <w:tcPr>
            <w:tcW w:w="992" w:type="dxa"/>
            <w:vAlign w:val="center"/>
          </w:tcPr>
          <w:p>
            <w:pPr>
              <w:spacing w:line="360" w:lineRule="auto"/>
              <w:jc w:val="center"/>
              <w:rPr>
                <w:rFonts w:hint="default" w:ascii="宋体" w:hAnsi="宋体" w:cs="宋体"/>
                <w:spacing w:val="-20"/>
                <w:sz w:val="22"/>
                <w:szCs w:val="22"/>
                <w:lang w:val="en-US" w:eastAsia="zh-CN" w:bidi="en-US"/>
              </w:rPr>
            </w:pPr>
            <w:r>
              <w:rPr>
                <w:rFonts w:hint="eastAsia" w:ascii="宋体" w:hAnsi="宋体" w:cs="宋体"/>
                <w:spacing w:val="-20"/>
                <w:sz w:val="22"/>
                <w:szCs w:val="22"/>
                <w:lang w:val="en-US" w:eastAsia="zh-CN" w:bidi="en-US"/>
              </w:rPr>
              <w:t>3</w:t>
            </w:r>
          </w:p>
        </w:tc>
        <w:tc>
          <w:tcPr>
            <w:tcW w:w="6375" w:type="dxa"/>
            <w:vAlign w:val="center"/>
          </w:tcPr>
          <w:tbl>
            <w:tblPr>
              <w:tblStyle w:val="37"/>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lang w:val="en-US" w:eastAsia="zh-CN"/>
                    </w:rPr>
                    <w:t>根据各</w:t>
                  </w:r>
                  <w:r>
                    <w:rPr>
                      <w:rFonts w:hint="eastAsia" w:ascii="宋体" w:hAnsi="宋体" w:cs="宋体"/>
                      <w:sz w:val="22"/>
                      <w:szCs w:val="22"/>
                    </w:rPr>
                    <w:t>投标人</w:t>
                  </w:r>
                  <w:r>
                    <w:rPr>
                      <w:rFonts w:hint="eastAsia" w:ascii="宋体" w:hAnsi="宋体" w:cs="宋体"/>
                      <w:sz w:val="22"/>
                      <w:szCs w:val="22"/>
                      <w:lang w:val="en-US" w:eastAsia="zh-CN"/>
                    </w:rPr>
                    <w:t>提交的展会各类流程管理办法</w:t>
                  </w:r>
                  <w:r>
                    <w:rPr>
                      <w:rFonts w:hint="eastAsia" w:ascii="宋体" w:hAnsi="宋体" w:cs="宋体"/>
                      <w:sz w:val="22"/>
                      <w:szCs w:val="22"/>
                    </w:rPr>
                    <w:t>，从</w:t>
                  </w:r>
                  <w:r>
                    <w:rPr>
                      <w:rFonts w:hint="eastAsia" w:ascii="宋体" w:hAnsi="宋体" w:cs="宋体"/>
                      <w:sz w:val="22"/>
                      <w:szCs w:val="22"/>
                      <w:lang w:val="en-US" w:eastAsia="zh-CN"/>
                    </w:rPr>
                    <w:t>流程</w:t>
                  </w:r>
                  <w:r>
                    <w:rPr>
                      <w:rFonts w:hint="eastAsia" w:ascii="宋体" w:hAnsi="宋体" w:cs="宋体"/>
                      <w:sz w:val="22"/>
                      <w:szCs w:val="22"/>
                    </w:rPr>
                    <w:t>的</w:t>
                  </w:r>
                  <w:r>
                    <w:rPr>
                      <w:rFonts w:hint="eastAsia" w:ascii="宋体" w:hAnsi="宋体" w:cs="宋体"/>
                      <w:sz w:val="22"/>
                      <w:szCs w:val="22"/>
                      <w:lang w:val="en-US" w:eastAsia="zh-CN"/>
                    </w:rPr>
                    <w:t>合理</w:t>
                  </w:r>
                  <w:r>
                    <w:rPr>
                      <w:rFonts w:hint="eastAsia" w:ascii="宋体" w:hAnsi="宋体" w:cs="宋体"/>
                      <w:sz w:val="22"/>
                      <w:szCs w:val="22"/>
                    </w:rPr>
                    <w:t>性、可行性等方面，由评委进行评分，优的得</w:t>
                  </w:r>
                  <w:r>
                    <w:rPr>
                      <w:rFonts w:hint="eastAsia" w:ascii="宋体" w:hAnsi="宋体" w:cs="宋体"/>
                      <w:sz w:val="22"/>
                      <w:szCs w:val="22"/>
                      <w:lang w:val="en-US" w:eastAsia="zh-CN"/>
                    </w:rPr>
                    <w:t>3</w:t>
                  </w:r>
                  <w:r>
                    <w:rPr>
                      <w:rFonts w:hint="eastAsia" w:ascii="宋体" w:hAnsi="宋体" w:cs="宋体"/>
                      <w:sz w:val="22"/>
                      <w:szCs w:val="22"/>
                    </w:rPr>
                    <w:t>分，良的得</w:t>
                  </w:r>
                  <w:r>
                    <w:rPr>
                      <w:rFonts w:hint="eastAsia" w:ascii="宋体" w:hAnsi="宋体" w:cs="宋体"/>
                      <w:sz w:val="22"/>
                      <w:szCs w:val="22"/>
                      <w:lang w:val="en-US" w:eastAsia="zh-CN"/>
                    </w:rPr>
                    <w:t>2</w:t>
                  </w:r>
                  <w:r>
                    <w:rPr>
                      <w:rFonts w:hint="eastAsia" w:ascii="宋体" w:hAnsi="宋体" w:cs="宋体"/>
                      <w:sz w:val="22"/>
                      <w:szCs w:val="22"/>
                    </w:rPr>
                    <w:t>分，一般的得</w:t>
                  </w:r>
                  <w:r>
                    <w:rPr>
                      <w:rFonts w:hint="eastAsia" w:ascii="宋体" w:hAnsi="宋体" w:cs="宋体"/>
                      <w:sz w:val="22"/>
                      <w:szCs w:val="22"/>
                      <w:lang w:val="en-US" w:eastAsia="zh-CN"/>
                    </w:rPr>
                    <w:t>1</w:t>
                  </w:r>
                  <w:r>
                    <w:rPr>
                      <w:rFonts w:hint="eastAsia" w:ascii="宋体" w:hAnsi="宋体" w:cs="宋体"/>
                      <w:sz w:val="22"/>
                      <w:szCs w:val="22"/>
                    </w:rPr>
                    <w:t>分，未提供的则不得分。</w:t>
                  </w:r>
                </w:p>
              </w:tc>
            </w:tr>
          </w:tbl>
          <w:p>
            <w:pPr>
              <w:spacing w:line="360" w:lineRule="auto"/>
              <w:jc w:val="left"/>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070" w:type="dxa"/>
            <w:vAlign w:val="center"/>
          </w:tcPr>
          <w:p>
            <w:pPr>
              <w:snapToGrid w:val="0"/>
              <w:jc w:val="center"/>
              <w:rPr>
                <w:rFonts w:hint="eastAsia" w:cs="宋体" w:asciiTheme="minorEastAsia" w:hAnsiTheme="minorEastAsia" w:eastAsiaTheme="minorEastAsia"/>
                <w:color w:val="000000" w:themeColor="text1"/>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5</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rPr>
              <w:t>主形象设计</w:t>
            </w:r>
          </w:p>
        </w:tc>
        <w:tc>
          <w:tcPr>
            <w:tcW w:w="992" w:type="dxa"/>
            <w:vAlign w:val="center"/>
          </w:tcPr>
          <w:p>
            <w:pPr>
              <w:spacing w:line="360" w:lineRule="auto"/>
              <w:jc w:val="center"/>
              <w:rPr>
                <w:rFonts w:hint="eastAsia" w:ascii="宋体" w:hAnsi="宋体" w:eastAsia="宋体" w:cs="宋体"/>
                <w:spacing w:val="-20"/>
                <w:sz w:val="22"/>
                <w:szCs w:val="22"/>
                <w:lang w:val="en-US" w:eastAsia="zh-CN"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主</w:t>
            </w:r>
            <w:r>
              <w:rPr>
                <w:rFonts w:hint="eastAsia" w:ascii="宋体" w:hAnsi="宋体" w:cs="宋体"/>
                <w:sz w:val="22"/>
                <w:szCs w:val="22"/>
              </w:rPr>
              <w:t>形象</w:t>
            </w:r>
            <w:r>
              <w:rPr>
                <w:rFonts w:hint="eastAsia" w:ascii="宋体" w:hAnsi="宋体" w:cs="宋体"/>
                <w:sz w:val="22"/>
                <w:szCs w:val="22"/>
                <w:lang w:val="en-US" w:eastAsia="zh-CN"/>
              </w:rPr>
              <w:t>设计</w:t>
            </w:r>
            <w:r>
              <w:rPr>
                <w:rFonts w:hint="eastAsia" w:ascii="宋体" w:hAnsi="宋体" w:cs="宋体"/>
                <w:sz w:val="22"/>
                <w:szCs w:val="22"/>
              </w:rPr>
              <w:t>是否围绕本次</w:t>
            </w:r>
            <w:r>
              <w:rPr>
                <w:rFonts w:hint="eastAsia" w:ascii="宋体" w:hAnsi="宋体" w:cs="宋体"/>
                <w:sz w:val="22"/>
                <w:szCs w:val="22"/>
                <w:lang w:val="en-US" w:eastAsia="zh-CN"/>
              </w:rPr>
              <w:t>跨境电商展</w:t>
            </w:r>
            <w:r>
              <w:rPr>
                <w:rFonts w:hint="eastAsia" w:ascii="宋体" w:hAnsi="宋体" w:cs="宋体"/>
                <w:sz w:val="22"/>
                <w:szCs w:val="22"/>
              </w:rPr>
              <w:t>的主题，设计形象是否力求美观、时尚、简洁、大气，具备艺术性设计风格，传统与现代充分融合，由评委进行评分，优的得3分，良的得2分，一般的得1分，未提供的则不得分。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6</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rPr>
              <w:t>功能区设计</w:t>
            </w:r>
          </w:p>
        </w:tc>
        <w:tc>
          <w:tcPr>
            <w:tcW w:w="992" w:type="dxa"/>
            <w:vAlign w:val="center"/>
          </w:tcPr>
          <w:p>
            <w:pPr>
              <w:spacing w:line="360" w:lineRule="auto"/>
              <w:jc w:val="center"/>
              <w:rPr>
                <w:rFonts w:hint="eastAsia" w:ascii="宋体" w:hAnsi="宋体" w:eastAsia="宋体" w:cs="宋体"/>
                <w:spacing w:val="-20"/>
                <w:sz w:val="22"/>
                <w:szCs w:val="22"/>
                <w:lang w:val="en-US" w:eastAsia="zh-CN" w:bidi="en-US"/>
              </w:rPr>
            </w:pPr>
            <w:r>
              <w:rPr>
                <w:rFonts w:hint="eastAsia" w:ascii="宋体" w:hAnsi="宋体" w:cs="宋体"/>
                <w:sz w:val="22"/>
                <w:szCs w:val="22"/>
                <w:lang w:val="en-US" w:eastAsia="zh-CN"/>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组委会办公室、商务洽谈区、休息区、餐饮区、行李寄存处、直播区、贵宾室等功能区设计</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9</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会议服务方案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en-US"/>
              </w:rPr>
              <w:t>5</w:t>
            </w:r>
          </w:p>
        </w:tc>
        <w:tc>
          <w:tcPr>
            <w:tcW w:w="6375" w:type="dxa"/>
            <w:vAlign w:val="center"/>
          </w:tcPr>
          <w:p>
            <w:pPr>
              <w:spacing w:line="360" w:lineRule="auto"/>
              <w:jc w:val="left"/>
              <w:rPr>
                <w:rFonts w:hint="default" w:ascii="宋体" w:hAnsi="宋体" w:eastAsia="宋体" w:cs="宋体"/>
                <w:sz w:val="22"/>
                <w:szCs w:val="22"/>
                <w:lang w:val="en-US" w:eastAsia="zh-CN" w:bidi="en-US"/>
              </w:rPr>
            </w:pPr>
            <w:r>
              <w:rPr>
                <w:rFonts w:hint="eastAsia" w:ascii="宋体" w:hAnsi="宋体" w:cs="宋体"/>
                <w:sz w:val="22"/>
                <w:szCs w:val="22"/>
                <w:lang w:val="en-US" w:eastAsia="zh-CN" w:bidi="en-US"/>
              </w:rPr>
              <w:t>根据投标人提供的展厅内会场设计、搭建及会务服务，是否能够满足招标方的会议需求，符合展会及会议主题，</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10</w:t>
            </w:r>
          </w:p>
        </w:tc>
        <w:tc>
          <w:tcPr>
            <w:tcW w:w="1843" w:type="dxa"/>
            <w:vAlign w:val="center"/>
          </w:tcPr>
          <w:p>
            <w:pPr>
              <w:spacing w:line="360" w:lineRule="auto"/>
              <w:jc w:val="center"/>
              <w:rPr>
                <w:rFonts w:hint="default" w:ascii="宋体" w:hAnsi="宋体" w:cs="宋体"/>
                <w:sz w:val="22"/>
                <w:szCs w:val="22"/>
                <w:lang w:val="en-US" w:eastAsia="zh-CN" w:bidi="en-US"/>
              </w:rPr>
            </w:pPr>
            <w:r>
              <w:rPr>
                <w:rFonts w:hint="eastAsia" w:ascii="宋体" w:hAnsi="宋体" w:cs="宋体"/>
                <w:sz w:val="22"/>
                <w:szCs w:val="22"/>
                <w:lang w:val="en-US" w:eastAsia="zh-CN" w:bidi="en-US"/>
              </w:rPr>
              <w:t>晚宴服务方案</w:t>
            </w:r>
          </w:p>
        </w:tc>
        <w:tc>
          <w:tcPr>
            <w:tcW w:w="992" w:type="dxa"/>
            <w:vAlign w:val="center"/>
          </w:tcPr>
          <w:p>
            <w:pPr>
              <w:spacing w:line="360" w:lineRule="auto"/>
              <w:jc w:val="center"/>
              <w:rPr>
                <w:rFonts w:hint="default" w:ascii="宋体" w:hAnsi="宋体" w:cs="宋体"/>
                <w:sz w:val="22"/>
                <w:szCs w:val="22"/>
                <w:lang w:val="en-US" w:eastAsia="zh-CN" w:bidi="en-US"/>
              </w:rPr>
            </w:pPr>
            <w:r>
              <w:rPr>
                <w:rFonts w:hint="eastAsia" w:ascii="宋体" w:hAnsi="宋体" w:cs="宋体"/>
                <w:sz w:val="22"/>
                <w:szCs w:val="22"/>
                <w:lang w:val="en-US" w:eastAsia="zh-CN" w:bidi="en-US"/>
              </w:rPr>
              <w:t>4</w:t>
            </w:r>
          </w:p>
        </w:tc>
        <w:tc>
          <w:tcPr>
            <w:tcW w:w="6375" w:type="dxa"/>
            <w:vAlign w:val="center"/>
          </w:tcPr>
          <w:p>
            <w:pPr>
              <w:spacing w:line="360" w:lineRule="auto"/>
              <w:jc w:val="left"/>
              <w:rPr>
                <w:rFonts w:hint="eastAsia" w:ascii="宋体" w:hAnsi="宋体" w:cs="宋体"/>
                <w:sz w:val="22"/>
                <w:szCs w:val="22"/>
                <w:lang w:val="en-US" w:eastAsia="zh-CN" w:bidi="en-US"/>
              </w:rPr>
            </w:pPr>
            <w:r>
              <w:rPr>
                <w:rFonts w:hint="eastAsia" w:ascii="宋体" w:hAnsi="宋体" w:cs="宋体"/>
                <w:sz w:val="22"/>
                <w:szCs w:val="22"/>
                <w:lang w:val="en-US" w:eastAsia="zh-CN" w:bidi="en-US"/>
              </w:rPr>
              <w:t>根据投标人提供的跨境晚宴规划、设计及会务服务，是否能够满足招标方的会议需求，符合展会及会议主题，</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11</w:t>
            </w:r>
          </w:p>
        </w:tc>
        <w:tc>
          <w:tcPr>
            <w:tcW w:w="1843" w:type="dxa"/>
            <w:vAlign w:val="center"/>
          </w:tcPr>
          <w:p>
            <w:pPr>
              <w:spacing w:line="360" w:lineRule="auto"/>
              <w:jc w:val="center"/>
              <w:rPr>
                <w:rFonts w:hint="default" w:ascii="宋体" w:hAnsi="宋体" w:eastAsia="宋体" w:cs="宋体"/>
                <w:sz w:val="22"/>
                <w:szCs w:val="22"/>
                <w:lang w:val="en-US" w:eastAsia="zh-CN" w:bidi="en-US"/>
              </w:rPr>
            </w:pPr>
            <w:r>
              <w:rPr>
                <w:rFonts w:hint="eastAsia" w:ascii="宋体" w:hAnsi="宋体" w:cs="宋体"/>
                <w:sz w:val="22"/>
                <w:szCs w:val="22"/>
                <w:lang w:val="en-US" w:eastAsia="zh-CN"/>
              </w:rPr>
              <w:t>搭建商管理方案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搭建商管理及推荐搭建商考察及管理办法</w:t>
            </w:r>
            <w:r>
              <w:rPr>
                <w:rFonts w:hint="eastAsia" w:ascii="宋体" w:hAnsi="宋体" w:cs="宋体"/>
                <w:sz w:val="22"/>
                <w:szCs w:val="22"/>
              </w:rPr>
              <w:t>，</w:t>
            </w:r>
            <w:r>
              <w:rPr>
                <w:rFonts w:hint="eastAsia" w:ascii="宋体" w:hAnsi="宋体" w:cs="宋体"/>
                <w:sz w:val="22"/>
                <w:szCs w:val="22"/>
                <w:lang w:val="en-US" w:eastAsia="zh-CN"/>
              </w:rPr>
              <w:t>是否兼具合理性及可行性，有效提升特装展位搭建质量及效率，</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12</w:t>
            </w:r>
          </w:p>
        </w:tc>
        <w:tc>
          <w:tcPr>
            <w:tcW w:w="1843" w:type="dxa"/>
            <w:vAlign w:val="center"/>
          </w:tcPr>
          <w:p>
            <w:pPr>
              <w:spacing w:line="360" w:lineRule="auto"/>
              <w:jc w:val="center"/>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整体接待方案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en-US"/>
              </w:rPr>
              <w:t>5</w:t>
            </w:r>
          </w:p>
        </w:tc>
        <w:tc>
          <w:tcPr>
            <w:tcW w:w="6375" w:type="dxa"/>
            <w:vAlign w:val="center"/>
          </w:tcPr>
          <w:p>
            <w:pPr>
              <w:spacing w:line="360" w:lineRule="auto"/>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根据投标人提供的接待整体方案，从车辆、酒店、接送、签到、用餐、晚宴等安排，是否合理，全面，满足招标方需求，</w:t>
            </w:r>
            <w:r>
              <w:rPr>
                <w:rFonts w:hint="eastAsia" w:ascii="宋体" w:hAnsi="宋体" w:cs="宋体"/>
                <w:sz w:val="22"/>
                <w:szCs w:val="22"/>
              </w:rPr>
              <w:t>由评委进行评分，优的得</w:t>
            </w:r>
            <w:r>
              <w:rPr>
                <w:rFonts w:hint="eastAsia" w:ascii="宋体" w:hAnsi="宋体" w:cs="宋体"/>
                <w:sz w:val="22"/>
                <w:szCs w:val="22"/>
                <w:lang w:val="en-US" w:eastAsia="zh-CN"/>
              </w:rPr>
              <w:t>6</w:t>
            </w:r>
            <w:r>
              <w:rPr>
                <w:rFonts w:hint="eastAsia" w:ascii="宋体" w:hAnsi="宋体" w:cs="宋体"/>
                <w:sz w:val="22"/>
                <w:szCs w:val="22"/>
              </w:rPr>
              <w:t>分，良的得</w:t>
            </w:r>
            <w:r>
              <w:rPr>
                <w:rFonts w:hint="eastAsia" w:ascii="宋体" w:hAnsi="宋体" w:cs="宋体"/>
                <w:sz w:val="22"/>
                <w:szCs w:val="22"/>
                <w:lang w:val="en-US" w:eastAsia="zh-CN"/>
              </w:rPr>
              <w:t>4</w:t>
            </w:r>
            <w:r>
              <w:rPr>
                <w:rFonts w:hint="eastAsia" w:ascii="宋体" w:hAnsi="宋体" w:cs="宋体"/>
                <w:sz w:val="22"/>
                <w:szCs w:val="22"/>
              </w:rPr>
              <w:t>分，一般的得</w:t>
            </w:r>
            <w:r>
              <w:rPr>
                <w:rFonts w:hint="eastAsia" w:ascii="宋体" w:hAnsi="宋体" w:cs="宋体"/>
                <w:sz w:val="22"/>
                <w:szCs w:val="22"/>
                <w:lang w:val="en-US" w:eastAsia="zh-CN"/>
              </w:rPr>
              <w:t>2</w:t>
            </w:r>
            <w:r>
              <w:rPr>
                <w:rFonts w:hint="eastAsia" w:ascii="宋体" w:hAnsi="宋体" w:cs="宋体"/>
                <w:sz w:val="22"/>
                <w:szCs w:val="22"/>
              </w:rPr>
              <w:t>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13</w:t>
            </w:r>
          </w:p>
        </w:tc>
        <w:tc>
          <w:tcPr>
            <w:tcW w:w="1843"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执行团队情况</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rPr>
                <w:rFonts w:hint="eastAsia" w:ascii="宋体" w:hAnsi="宋体" w:eastAsia="宋体" w:cs="宋体"/>
                <w:sz w:val="22"/>
                <w:szCs w:val="22"/>
                <w:lang w:val="en-US" w:eastAsia="en-US" w:bidi="ar"/>
              </w:rPr>
            </w:pPr>
            <w:r>
              <w:rPr>
                <w:rFonts w:hint="eastAsia" w:ascii="宋体" w:hAnsi="宋体" w:cs="宋体"/>
                <w:sz w:val="22"/>
                <w:szCs w:val="22"/>
              </w:rPr>
              <w:t>根据投标人项目执行团队及团队架构完善程度情况，设计人员、</w:t>
            </w:r>
            <w:r>
              <w:rPr>
                <w:rFonts w:hint="eastAsia" w:ascii="宋体" w:hAnsi="宋体" w:cs="宋体"/>
                <w:sz w:val="22"/>
                <w:szCs w:val="22"/>
                <w:lang w:val="en-US" w:eastAsia="zh-CN"/>
              </w:rPr>
              <w:t>安全管理</w:t>
            </w:r>
            <w:r>
              <w:rPr>
                <w:rFonts w:hint="eastAsia" w:ascii="宋体" w:hAnsi="宋体" w:cs="宋体"/>
                <w:sz w:val="22"/>
                <w:szCs w:val="22"/>
              </w:rPr>
              <w:t>人员</w:t>
            </w:r>
            <w:r>
              <w:rPr>
                <w:rFonts w:hint="eastAsia" w:ascii="宋体" w:hAnsi="宋体" w:cs="宋体"/>
                <w:sz w:val="22"/>
                <w:szCs w:val="22"/>
                <w:lang w:eastAsia="zh-CN"/>
              </w:rPr>
              <w:t>、</w:t>
            </w:r>
            <w:r>
              <w:rPr>
                <w:rFonts w:hint="eastAsia" w:ascii="宋体" w:hAnsi="宋体" w:cs="宋体"/>
                <w:sz w:val="22"/>
                <w:szCs w:val="22"/>
                <w:lang w:val="en-US" w:eastAsia="zh-CN"/>
              </w:rPr>
              <w:t>执行人员</w:t>
            </w:r>
            <w:r>
              <w:rPr>
                <w:rFonts w:hint="eastAsia" w:ascii="宋体" w:hAnsi="宋体" w:cs="宋体"/>
                <w:sz w:val="22"/>
                <w:szCs w:val="22"/>
              </w:rPr>
              <w:t>安排是否符合本项目要求，由评委进行评分，优的得3分，良的得2分，一般的得1分，未提供的则不得分。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14</w:t>
            </w:r>
          </w:p>
        </w:tc>
        <w:tc>
          <w:tcPr>
            <w:tcW w:w="1843"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hint="eastAsia" w:ascii="宋体" w:hAnsi="宋体" w:cs="宋体"/>
                <w:sz w:val="22"/>
                <w:szCs w:val="22"/>
                <w:lang w:val="en-US" w:eastAsia="zh-CN"/>
              </w:rPr>
              <w:t>地毯铺设</w:t>
            </w:r>
            <w:r>
              <w:rPr>
                <w:rFonts w:hint="eastAsia" w:ascii="宋体" w:hAnsi="宋体" w:cs="宋体"/>
                <w:sz w:val="22"/>
                <w:szCs w:val="22"/>
              </w:rPr>
              <w:t>方案</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rPr>
              <w:t>2</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rPr>
              <w:t>根据投标人提供的</w:t>
            </w:r>
            <w:r>
              <w:rPr>
                <w:rFonts w:hint="eastAsia" w:ascii="宋体" w:hAnsi="宋体" w:cs="宋体"/>
                <w:sz w:val="22"/>
                <w:szCs w:val="22"/>
                <w:lang w:val="en-US" w:eastAsia="zh-CN"/>
              </w:rPr>
              <w:t>地毯铺设</w:t>
            </w:r>
            <w:r>
              <w:rPr>
                <w:rFonts w:hint="eastAsia" w:ascii="宋体" w:hAnsi="宋体" w:cs="宋体"/>
                <w:sz w:val="22"/>
                <w:szCs w:val="22"/>
              </w:rPr>
              <w:t>方案，从方案的可行性、准确性等方面，由评委进行评分，优的得3分，良的得2分，一般的得1分，未提供的则不得分。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15</w:t>
            </w:r>
          </w:p>
        </w:tc>
        <w:tc>
          <w:tcPr>
            <w:tcW w:w="1843"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bidi="ar"/>
              </w:rPr>
              <w:t>展会</w:t>
            </w:r>
            <w:r>
              <w:rPr>
                <w:rFonts w:hint="eastAsia" w:ascii="宋体" w:hAnsi="宋体" w:cs="宋体"/>
                <w:sz w:val="22"/>
                <w:szCs w:val="22"/>
                <w:lang w:bidi="ar"/>
              </w:rPr>
              <w:t>保障方案</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jc w:val="left"/>
              <w:rPr>
                <w:rFonts w:hint="eastAsia" w:ascii="宋体" w:hAnsi="宋体" w:eastAsia="宋体" w:cs="宋体"/>
                <w:sz w:val="22"/>
                <w:szCs w:val="22"/>
                <w:lang w:val="en-US" w:eastAsia="zh-CN" w:bidi="en-US"/>
              </w:rPr>
            </w:pPr>
            <w:r>
              <w:rPr>
                <w:rFonts w:hint="eastAsia" w:ascii="宋体" w:hAnsi="宋体" w:cs="宋体"/>
                <w:sz w:val="22"/>
                <w:szCs w:val="22"/>
                <w:lang w:bidi="ar"/>
              </w:rPr>
              <w:t>根据投标人提供的</w:t>
            </w:r>
            <w:r>
              <w:rPr>
                <w:rFonts w:hint="eastAsia" w:ascii="宋体" w:hAnsi="宋体" w:cs="宋体"/>
                <w:sz w:val="22"/>
                <w:szCs w:val="22"/>
                <w:lang w:val="en-US" w:eastAsia="zh-CN" w:bidi="ar"/>
              </w:rPr>
              <w:t>展会</w:t>
            </w:r>
            <w:r>
              <w:rPr>
                <w:rFonts w:hint="eastAsia" w:ascii="宋体" w:hAnsi="宋体" w:cs="宋体"/>
                <w:sz w:val="22"/>
                <w:szCs w:val="22"/>
                <w:lang w:bidi="ar"/>
              </w:rPr>
              <w:t>保障方案（含</w:t>
            </w:r>
            <w:r>
              <w:rPr>
                <w:rFonts w:hint="eastAsia" w:ascii="宋体" w:hAnsi="宋体" w:cs="宋体"/>
                <w:sz w:val="22"/>
                <w:szCs w:val="22"/>
                <w:lang w:val="en-US" w:eastAsia="zh-CN" w:bidi="ar"/>
              </w:rPr>
              <w:t>物流</w:t>
            </w:r>
            <w:r>
              <w:rPr>
                <w:rFonts w:hint="eastAsia" w:ascii="宋体" w:hAnsi="宋体" w:cs="宋体"/>
                <w:sz w:val="22"/>
                <w:szCs w:val="22"/>
                <w:lang w:bidi="ar"/>
              </w:rPr>
              <w:t>、安保、其他应急预案等），</w:t>
            </w:r>
            <w:r>
              <w:rPr>
                <w:rFonts w:hint="eastAsia" w:ascii="宋体" w:hAnsi="宋体" w:cs="宋体"/>
                <w:sz w:val="22"/>
                <w:szCs w:val="22"/>
              </w:rPr>
              <w:t>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16</w:t>
            </w:r>
          </w:p>
        </w:tc>
        <w:tc>
          <w:tcPr>
            <w:tcW w:w="1843" w:type="dxa"/>
            <w:vAlign w:val="center"/>
          </w:tcPr>
          <w:p>
            <w:pPr>
              <w:spacing w:line="360" w:lineRule="auto"/>
              <w:jc w:val="center"/>
              <w:rPr>
                <w:rFonts w:hint="eastAsia" w:ascii="宋体" w:hAnsi="宋体" w:eastAsia="宋体" w:cs="宋体"/>
                <w:sz w:val="22"/>
                <w:szCs w:val="22"/>
                <w:lang w:val="en-US" w:eastAsia="zh-CN" w:bidi="ar"/>
              </w:rPr>
            </w:pPr>
            <w:r>
              <w:rPr>
                <w:rFonts w:hint="eastAsia" w:ascii="宋体" w:hAnsi="宋体" w:cs="宋体"/>
                <w:sz w:val="22"/>
                <w:szCs w:val="22"/>
                <w:lang w:val="en-US" w:eastAsia="zh-CN"/>
              </w:rPr>
              <w:t>进度保障</w:t>
            </w:r>
          </w:p>
        </w:tc>
        <w:tc>
          <w:tcPr>
            <w:tcW w:w="992" w:type="dxa"/>
            <w:vAlign w:val="center"/>
          </w:tcPr>
          <w:p>
            <w:pPr>
              <w:spacing w:line="360" w:lineRule="auto"/>
              <w:jc w:val="center"/>
              <w:rPr>
                <w:rFonts w:hint="eastAsia" w:ascii="宋体" w:hAnsi="宋体" w:eastAsia="宋体" w:cs="宋体"/>
                <w:sz w:val="22"/>
                <w:szCs w:val="22"/>
                <w:lang w:val="en-US" w:eastAsia="en-US" w:bidi="en-US"/>
              </w:rPr>
            </w:pPr>
            <w:r>
              <w:rPr>
                <w:rFonts w:hint="eastAsia" w:ascii="宋体" w:hAnsi="宋体" w:cs="宋体"/>
                <w:sz w:val="22"/>
                <w:szCs w:val="22"/>
              </w:rPr>
              <w:t>3</w:t>
            </w:r>
          </w:p>
        </w:tc>
        <w:tc>
          <w:tcPr>
            <w:tcW w:w="6375" w:type="dxa"/>
            <w:vAlign w:val="center"/>
          </w:tcPr>
          <w:p>
            <w:pPr>
              <w:spacing w:line="360" w:lineRule="auto"/>
              <w:rPr>
                <w:rFonts w:hint="eastAsia" w:ascii="宋体" w:hAnsi="宋体" w:eastAsia="宋体" w:cs="宋体"/>
                <w:sz w:val="22"/>
                <w:szCs w:val="22"/>
                <w:lang w:val="en-US" w:eastAsia="zh-CN" w:bidi="ar"/>
              </w:rPr>
            </w:pPr>
            <w:r>
              <w:rPr>
                <w:rFonts w:hint="eastAsia" w:ascii="宋体" w:hAnsi="宋体" w:cs="宋体"/>
                <w:sz w:val="22"/>
                <w:szCs w:val="22"/>
              </w:rPr>
              <w:t>根据投标人提供的工作事项推进方案，工作事项是否完善、进度安排是否合理，由评委进行评分，优的得3分，良的得2分，一般的得1分，未提供的则不得分。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17</w:t>
            </w:r>
          </w:p>
        </w:tc>
        <w:tc>
          <w:tcPr>
            <w:tcW w:w="1843" w:type="dxa"/>
            <w:vAlign w:val="center"/>
          </w:tcPr>
          <w:p>
            <w:pPr>
              <w:spacing w:line="360" w:lineRule="auto"/>
              <w:jc w:val="center"/>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展务信息化</w:t>
            </w:r>
          </w:p>
        </w:tc>
        <w:tc>
          <w:tcPr>
            <w:tcW w:w="992" w:type="dxa"/>
            <w:vAlign w:val="center"/>
          </w:tcPr>
          <w:p>
            <w:pPr>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6375" w:type="dxa"/>
            <w:vAlign w:val="center"/>
          </w:tcPr>
          <w:p>
            <w:pPr>
              <w:spacing w:line="360" w:lineRule="auto"/>
              <w:rPr>
                <w:rFonts w:hint="default" w:ascii="宋体" w:hAnsi="宋体" w:eastAsia="宋体" w:cs="宋体"/>
                <w:sz w:val="22"/>
                <w:szCs w:val="22"/>
                <w:lang w:val="en-US" w:eastAsia="zh-CN" w:bidi="ar"/>
              </w:rPr>
            </w:pPr>
            <w:r>
              <w:rPr>
                <w:rFonts w:hint="eastAsia" w:ascii="宋体" w:hAnsi="宋体" w:cs="宋体"/>
                <w:sz w:val="22"/>
                <w:szCs w:val="22"/>
                <w:lang w:val="en-US" w:eastAsia="zh-CN" w:bidi="ar"/>
              </w:rPr>
              <w:t>根据投标人展示用于跨境电商展的线上系统，包括但不限于特装报馆、预定缴费、信息收集、违规整改、数据分析等，由评委进行评分，优的得2分，一般的得1分，未提供的则不得分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hint="default" w:cs="宋体"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118</w:t>
            </w:r>
          </w:p>
        </w:tc>
        <w:tc>
          <w:tcPr>
            <w:tcW w:w="1843" w:type="dxa"/>
            <w:vAlign w:val="center"/>
          </w:tcPr>
          <w:p>
            <w:pPr>
              <w:spacing w:line="360" w:lineRule="auto"/>
              <w:jc w:val="center"/>
              <w:rPr>
                <w:rFonts w:hint="eastAsia" w:ascii="宋体" w:hAnsi="宋体" w:eastAsia="宋体" w:cs="宋体"/>
                <w:sz w:val="22"/>
                <w:szCs w:val="22"/>
                <w:lang w:val="en-US" w:eastAsia="en-US" w:bidi="ar"/>
              </w:rPr>
            </w:pPr>
            <w:r>
              <w:rPr>
                <w:rFonts w:hint="eastAsia" w:ascii="宋体" w:hAnsi="宋体" w:cs="宋体"/>
                <w:sz w:val="22"/>
                <w:szCs w:val="22"/>
                <w:lang w:bidi="ar"/>
              </w:rPr>
              <w:t>现场演示答辩</w:t>
            </w:r>
          </w:p>
        </w:tc>
        <w:tc>
          <w:tcPr>
            <w:tcW w:w="992" w:type="dxa"/>
            <w:vAlign w:val="center"/>
          </w:tcPr>
          <w:p>
            <w:pPr>
              <w:spacing w:line="360" w:lineRule="auto"/>
              <w:jc w:val="center"/>
              <w:rPr>
                <w:rFonts w:hint="eastAsia" w:ascii="宋体" w:hAnsi="宋体" w:eastAsia="宋体" w:cs="宋体"/>
                <w:sz w:val="22"/>
                <w:szCs w:val="22"/>
                <w:lang w:val="en-US" w:eastAsia="zh-CN" w:bidi="en-US"/>
              </w:rPr>
            </w:pPr>
            <w:r>
              <w:rPr>
                <w:rFonts w:hint="eastAsia" w:ascii="宋体" w:hAnsi="宋体" w:cs="宋体"/>
                <w:sz w:val="22"/>
                <w:szCs w:val="22"/>
                <w:lang w:val="en-US" w:eastAsia="zh-CN"/>
              </w:rPr>
              <w:t>3</w:t>
            </w:r>
          </w:p>
        </w:tc>
        <w:tc>
          <w:tcPr>
            <w:tcW w:w="6375" w:type="dxa"/>
            <w:vAlign w:val="center"/>
          </w:tcPr>
          <w:p>
            <w:pPr>
              <w:spacing w:line="360" w:lineRule="auto"/>
              <w:rPr>
                <w:rFonts w:hint="eastAsia" w:ascii="宋体" w:hAnsi="宋体" w:eastAsia="宋体" w:cs="宋体"/>
                <w:sz w:val="22"/>
                <w:szCs w:val="22"/>
                <w:lang w:val="en-US" w:eastAsia="en-US" w:bidi="ar"/>
              </w:rPr>
            </w:pPr>
            <w:r>
              <w:rPr>
                <w:rFonts w:hint="eastAsia" w:ascii="宋体" w:hAnsi="宋体" w:cs="宋体"/>
                <w:sz w:val="22"/>
                <w:szCs w:val="22"/>
                <w:lang w:bidi="ar"/>
              </w:rPr>
              <w:t>投标人需对整个设计方案进行演示、答辩，评标委员会根据供应商现场演示、答辩情况进行评分。优的得</w:t>
            </w:r>
            <w:r>
              <w:rPr>
                <w:rFonts w:hint="eastAsia" w:ascii="宋体" w:hAnsi="宋体" w:cs="宋体"/>
                <w:sz w:val="22"/>
                <w:szCs w:val="22"/>
                <w:lang w:val="en-US" w:eastAsia="zh-CN" w:bidi="ar"/>
              </w:rPr>
              <w:t>2</w:t>
            </w:r>
            <w:r>
              <w:rPr>
                <w:rFonts w:hint="eastAsia" w:ascii="宋体" w:hAnsi="宋体" w:cs="宋体"/>
                <w:sz w:val="22"/>
                <w:szCs w:val="22"/>
                <w:lang w:bidi="ar"/>
              </w:rPr>
              <w:t>分，一般的得1分，未演示答辩的不得分。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dxa"/>
            <w:vAlign w:val="center"/>
          </w:tcPr>
          <w:p>
            <w:pPr>
              <w:snapToGrid w:val="0"/>
              <w:jc w:val="center"/>
              <w:rPr>
                <w:rFonts w:cs="宋体" w:asciiTheme="minorEastAsia" w:hAnsiTheme="minorEastAsia" w:eastAsiaTheme="minorEastAsia"/>
                <w:color w:val="000000" w:themeColor="text1"/>
                <w:sz w:val="22"/>
                <w:szCs w:val="22"/>
                <w:lang w:eastAsia="zh-CN"/>
                <w14:textFill>
                  <w14:solidFill>
                    <w14:schemeClr w14:val="tx1"/>
                  </w14:solidFill>
                </w14:textFill>
              </w:rPr>
            </w:pPr>
          </w:p>
        </w:tc>
        <w:tc>
          <w:tcPr>
            <w:tcW w:w="1843" w:type="dxa"/>
            <w:vAlign w:val="center"/>
          </w:tcPr>
          <w:p>
            <w:pPr>
              <w:snapToGrid w:val="0"/>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合计</w:t>
            </w:r>
          </w:p>
        </w:tc>
        <w:tc>
          <w:tcPr>
            <w:tcW w:w="992" w:type="dxa"/>
            <w:vAlign w:val="center"/>
          </w:tcPr>
          <w:p>
            <w:pPr>
              <w:snapToGrid w:val="0"/>
              <w:jc w:val="center"/>
              <w:rPr>
                <w:rFonts w:cs="宋体" w:asciiTheme="minorEastAsia" w:hAnsiTheme="minorEastAsia" w:eastAsiaTheme="minorEastAsia"/>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lang w:val="en-US" w:eastAsia="zh-CN"/>
                <w14:textFill>
                  <w14:solidFill>
                    <w14:schemeClr w14:val="tx1"/>
                  </w14:solidFill>
                </w14:textFill>
              </w:rPr>
              <w:t>5</w:t>
            </w:r>
            <w:r>
              <w:rPr>
                <w:rFonts w:hint="eastAsia" w:cs="宋体" w:asciiTheme="minorEastAsia" w:hAnsiTheme="minorEastAsia" w:eastAsiaTheme="minorEastAsia"/>
                <w:color w:val="000000" w:themeColor="text1"/>
                <w:sz w:val="22"/>
                <w:szCs w:val="22"/>
                <w14:textFill>
                  <w14:solidFill>
                    <w14:schemeClr w14:val="tx1"/>
                  </w14:solidFill>
                </w14:textFill>
              </w:rPr>
              <w:t>5</w:t>
            </w:r>
          </w:p>
        </w:tc>
        <w:tc>
          <w:tcPr>
            <w:tcW w:w="6375" w:type="dxa"/>
            <w:vAlign w:val="center"/>
          </w:tcPr>
          <w:p>
            <w:pPr>
              <w:rPr>
                <w:rFonts w:cs="宋体" w:asciiTheme="minorEastAsia" w:hAnsiTheme="minorEastAsia" w:eastAsiaTheme="minorEastAsia"/>
                <w:color w:val="000000" w:themeColor="text1"/>
                <w:sz w:val="22"/>
                <w:szCs w:val="22"/>
                <w14:textFill>
                  <w14:solidFill>
                    <w14:schemeClr w14:val="tx1"/>
                  </w14:solidFill>
                </w14:textFill>
              </w:rPr>
            </w:pPr>
          </w:p>
        </w:tc>
      </w:tr>
    </w:tbl>
    <w:p>
      <w:pPr>
        <w:pStyle w:val="2"/>
        <w:rPr>
          <w:lang w:eastAsia="zh-CN"/>
        </w:rPr>
      </w:pPr>
    </w:p>
    <w:p>
      <w:pPr>
        <w:adjustRightInd w:val="0"/>
        <w:snapToGrid w:val="0"/>
        <w:spacing w:before="120" w:after="120"/>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b/>
          <w:bCs/>
          <w:color w:val="000000" w:themeColor="text1"/>
          <w:lang w:eastAsia="zh-CN"/>
          <w14:textFill>
            <w14:solidFill>
              <w14:schemeClr w14:val="tx1"/>
            </w14:solidFill>
          </w14:textFill>
        </w:rPr>
        <w:t>4</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商务部分</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b/>
          <w:color w:val="000000" w:themeColor="text1"/>
          <w:lang w:eastAsia="zh-CN"/>
          <w14:textFill>
            <w14:solidFill>
              <w14:schemeClr w14:val="tx1"/>
            </w14:solidFill>
          </w14:textFill>
        </w:rPr>
        <w:t>（满分</w:t>
      </w:r>
      <w:r>
        <w:rPr>
          <w:rFonts w:hint="eastAsia" w:asciiTheme="minorEastAsia" w:hAnsiTheme="minorEastAsia" w:eastAsiaTheme="minorEastAsia"/>
          <w:b/>
          <w:color w:val="000000" w:themeColor="text1"/>
          <w:lang w:val="en-US" w:eastAsia="zh-CN"/>
          <w14:textFill>
            <w14:solidFill>
              <w14:schemeClr w14:val="tx1"/>
            </w14:solidFill>
          </w14:textFill>
        </w:rPr>
        <w:t>35</w:t>
      </w:r>
      <w:r>
        <w:rPr>
          <w:rFonts w:hint="eastAsia" w:asciiTheme="minorEastAsia" w:hAnsiTheme="minorEastAsia" w:eastAsiaTheme="minorEastAsia"/>
          <w:b/>
          <w:color w:val="000000" w:themeColor="text1"/>
          <w:lang w:eastAsia="zh-CN"/>
          <w14:textFill>
            <w14:solidFill>
              <w14:schemeClr w14:val="tx1"/>
            </w14:solidFill>
          </w14:textFill>
        </w:rPr>
        <w:t>分）</w:t>
      </w:r>
    </w:p>
    <w:tbl>
      <w:tblPr>
        <w:tblStyle w:val="3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56"/>
        <w:gridCol w:w="1312"/>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1656" w:type="dxa"/>
            <w:vAlign w:val="center"/>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评分项目</w:t>
            </w:r>
          </w:p>
        </w:tc>
        <w:tc>
          <w:tcPr>
            <w:tcW w:w="1312" w:type="dxa"/>
            <w:vAlign w:val="center"/>
          </w:tcPr>
          <w:p>
            <w:pPr>
              <w:adjustRightInd w:val="0"/>
              <w:snapToGrid w:val="0"/>
              <w:spacing w:before="120" w:after="12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标准分</w:t>
            </w:r>
          </w:p>
        </w:tc>
        <w:tc>
          <w:tcPr>
            <w:tcW w:w="6527" w:type="dxa"/>
            <w:vAlign w:val="center"/>
          </w:tcPr>
          <w:p>
            <w:pPr>
              <w:adjustRightInd w:val="0"/>
              <w:snapToGrid w:val="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1</w:t>
            </w:r>
          </w:p>
        </w:tc>
        <w:tc>
          <w:tcPr>
            <w:tcW w:w="1656" w:type="dxa"/>
            <w:vMerge w:val="restart"/>
            <w:vAlign w:val="center"/>
          </w:tcPr>
          <w:p>
            <w:pPr>
              <w:rPr>
                <w:rFonts w:hint="eastAsia" w:ascii="宋体" w:hAnsi="宋体" w:eastAsia="宋体" w:cs="宋体"/>
                <w:sz w:val="22"/>
                <w:szCs w:val="22"/>
                <w:lang w:val="zh-CN" w:eastAsia="en-US" w:bidi="en-US"/>
              </w:rPr>
            </w:pPr>
            <w:r>
              <w:rPr>
                <w:rFonts w:hint="eastAsia" w:ascii="宋体" w:hAnsi="宋体" w:cs="宋体"/>
                <w:szCs w:val="21"/>
                <w:lang w:bidi="ar"/>
              </w:rPr>
              <w:t>投标人资质</w:t>
            </w:r>
          </w:p>
        </w:tc>
        <w:tc>
          <w:tcPr>
            <w:tcW w:w="1312"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2"/>
                <w:lang w:val="zh-CN" w:eastAsia="zh-CN" w:bidi="en-US"/>
              </w:rPr>
            </w:pPr>
            <w:r>
              <w:rPr>
                <w:rFonts w:hint="eastAsia" w:ascii="宋体" w:hAnsi="宋体" w:cs="宋体"/>
                <w:szCs w:val="21"/>
                <w:lang w:bidi="ar"/>
              </w:rPr>
              <w:t>投标人获得的</w:t>
            </w:r>
            <w:r>
              <w:rPr>
                <w:rFonts w:hint="eastAsia" w:ascii="宋体" w:hAnsi="宋体" w:cs="宋体"/>
                <w:szCs w:val="21"/>
                <w:lang w:eastAsia="zh-Hans" w:bidi="ar"/>
              </w:rPr>
              <w:t>中国</w:t>
            </w:r>
            <w:r>
              <w:rPr>
                <w:rFonts w:hint="eastAsia" w:ascii="宋体" w:hAnsi="宋体" w:cs="宋体"/>
                <w:szCs w:val="21"/>
                <w:lang w:bidi="ar"/>
              </w:rPr>
              <w:t>展览</w:t>
            </w:r>
            <w:r>
              <w:rPr>
                <w:rFonts w:hint="eastAsia" w:ascii="宋体" w:hAnsi="宋体" w:cs="宋体"/>
                <w:szCs w:val="21"/>
                <w:lang w:eastAsia="zh-Hans" w:bidi="ar"/>
              </w:rPr>
              <w:t>馆协会一级以上相关</w:t>
            </w:r>
            <w:r>
              <w:rPr>
                <w:rFonts w:hint="eastAsia" w:ascii="宋体" w:hAnsi="宋体" w:cs="宋体"/>
                <w:szCs w:val="21"/>
                <w:lang w:bidi="ar"/>
              </w:rPr>
              <w:t>资质证书的</w:t>
            </w:r>
            <w:r>
              <w:rPr>
                <w:rFonts w:hint="eastAsia" w:ascii="宋体" w:hAnsi="宋体" w:cs="宋体"/>
                <w:szCs w:val="21"/>
                <w:lang w:eastAsia="zh-Hans" w:bidi="ar"/>
              </w:rPr>
              <w:t>得</w:t>
            </w:r>
            <w:r>
              <w:rPr>
                <w:rFonts w:ascii="宋体" w:hAnsi="宋体" w:cs="宋体"/>
                <w:szCs w:val="21"/>
                <w:lang w:eastAsia="zh-Hans" w:bidi="ar"/>
              </w:rPr>
              <w:t>3</w:t>
            </w:r>
            <w:r>
              <w:rPr>
                <w:rFonts w:hint="eastAsia" w:ascii="宋体" w:hAnsi="宋体" w:cs="宋体"/>
                <w:szCs w:val="21"/>
                <w:lang w:eastAsia="zh-Hans" w:bidi="ar"/>
              </w:rPr>
              <w:t>分</w:t>
            </w:r>
            <w:r>
              <w:rPr>
                <w:rFonts w:hint="eastAsia" w:ascii="宋体" w:hAnsi="宋体" w:cs="宋体"/>
                <w:szCs w:val="21"/>
                <w:lang w:bidi="ar"/>
              </w:rPr>
              <w:t>，未提供不得分。（提供有效复印件加盖投标人公章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2</w:t>
            </w:r>
          </w:p>
        </w:tc>
        <w:tc>
          <w:tcPr>
            <w:tcW w:w="1656" w:type="dxa"/>
            <w:vMerge w:val="continue"/>
            <w:vAlign w:val="center"/>
          </w:tcPr>
          <w:p>
            <w:pPr>
              <w:adjustRightInd w:val="0"/>
              <w:snapToGrid w:val="0"/>
              <w:textAlignment w:val="baseline"/>
              <w:rPr>
                <w:rFonts w:asciiTheme="minorEastAsia" w:hAnsiTheme="minorEastAsia" w:eastAsiaTheme="minorEastAsia"/>
                <w:color w:val="000000" w:themeColor="text1"/>
                <w14:textFill>
                  <w14:solidFill>
                    <w14:schemeClr w14:val="tx1"/>
                  </w14:solidFill>
                </w14:textFill>
              </w:rPr>
            </w:pP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1"/>
                <w:lang w:val="en-US" w:eastAsia="zh-CN" w:bidi="ar"/>
              </w:rPr>
            </w:pPr>
            <w:r>
              <w:rPr>
                <w:rFonts w:hint="eastAsia" w:ascii="宋体" w:hAnsi="宋体" w:cs="宋体"/>
                <w:szCs w:val="21"/>
                <w:lang w:bidi="ar"/>
              </w:rPr>
              <w:t>投标人获得</w:t>
            </w:r>
            <w:r>
              <w:rPr>
                <w:rFonts w:hint="eastAsia" w:ascii="宋体" w:hAnsi="宋体" w:cs="宋体"/>
                <w:szCs w:val="21"/>
                <w:lang w:val="en-US" w:eastAsia="zh-CN" w:bidi="ar"/>
              </w:rPr>
              <w:t>市级建筑</w:t>
            </w:r>
            <w:r>
              <w:rPr>
                <w:rFonts w:hint="eastAsia" w:ascii="宋体" w:hAnsi="宋体" w:cs="宋体"/>
                <w:szCs w:val="21"/>
                <w:lang w:eastAsia="zh-Hans" w:bidi="ar"/>
              </w:rPr>
              <w:t>装修装饰工程二级以上</w:t>
            </w:r>
            <w:r>
              <w:rPr>
                <w:rFonts w:hint="eastAsia" w:ascii="宋体" w:hAnsi="宋体" w:cs="宋体"/>
                <w:szCs w:val="21"/>
                <w:lang w:bidi="ar"/>
              </w:rPr>
              <w:t>证书的得3分，未提供不得分。（提供有效复印件加盖投标人公章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3</w:t>
            </w:r>
          </w:p>
        </w:tc>
        <w:tc>
          <w:tcPr>
            <w:tcW w:w="1656" w:type="dxa"/>
            <w:vMerge w:val="continue"/>
            <w:vAlign w:val="center"/>
          </w:tcPr>
          <w:p>
            <w:pPr>
              <w:adjustRightInd w:val="0"/>
              <w:snapToGrid w:val="0"/>
              <w:textAlignment w:val="baseline"/>
              <w:rPr>
                <w:rFonts w:asciiTheme="minorEastAsia" w:hAnsiTheme="minorEastAsia" w:eastAsiaTheme="minorEastAsia"/>
                <w:color w:val="000000" w:themeColor="text1"/>
                <w:lang w:eastAsia="zh-CN"/>
                <w14:textFill>
                  <w14:solidFill>
                    <w14:schemeClr w14:val="tx1"/>
                  </w14:solidFill>
                </w14:textFill>
              </w:rPr>
            </w:pP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en-US" w:bidi="en-US"/>
              </w:rPr>
            </w:pPr>
            <w:r>
              <w:rPr>
                <w:rFonts w:ascii="宋体" w:hAnsi="宋体" w:cs="宋体"/>
              </w:rPr>
              <w:t>3</w:t>
            </w:r>
          </w:p>
        </w:tc>
        <w:tc>
          <w:tcPr>
            <w:tcW w:w="6527" w:type="dxa"/>
            <w:vAlign w:val="center"/>
          </w:tcPr>
          <w:p>
            <w:pPr>
              <w:adjustRightInd w:val="0"/>
              <w:snapToGrid w:val="0"/>
              <w:spacing w:line="360" w:lineRule="exact"/>
              <w:textAlignment w:val="baseline"/>
              <w:rPr>
                <w:rFonts w:hint="eastAsia" w:ascii="宋体" w:hAnsi="宋体" w:eastAsia="宋体" w:cs="宋体"/>
                <w:sz w:val="22"/>
                <w:szCs w:val="21"/>
                <w:lang w:val="en-US" w:eastAsia="zh-CN" w:bidi="ar"/>
              </w:rPr>
            </w:pPr>
            <w:r>
              <w:rPr>
                <w:rFonts w:hint="eastAsia" w:ascii="宋体" w:hAnsi="宋体" w:cs="宋体"/>
                <w:szCs w:val="21"/>
                <w:highlight w:val="none"/>
                <w:lang w:bidi="ar"/>
              </w:rPr>
              <w:t>投标人获得</w:t>
            </w:r>
            <w:r>
              <w:rPr>
                <w:rFonts w:hint="eastAsia" w:ascii="宋体" w:hAnsi="宋体" w:cs="宋体"/>
                <w:szCs w:val="21"/>
                <w:highlight w:val="none"/>
                <w:lang w:val="en-US" w:eastAsia="zh-CN" w:bidi="ar"/>
              </w:rPr>
              <w:t>企业信用评价3A级证书</w:t>
            </w:r>
            <w:r>
              <w:rPr>
                <w:rFonts w:hint="eastAsia" w:ascii="宋体" w:hAnsi="宋体" w:cs="宋体"/>
                <w:szCs w:val="21"/>
                <w:highlight w:val="none"/>
                <w:lang w:bidi="ar"/>
              </w:rPr>
              <w:t>的，</w:t>
            </w:r>
            <w:r>
              <w:rPr>
                <w:rFonts w:hint="eastAsia" w:ascii="宋体" w:hAnsi="宋体" w:cs="宋体"/>
                <w:szCs w:val="21"/>
                <w:highlight w:val="none"/>
                <w:lang w:val="en-US" w:eastAsia="zh-CN" w:bidi="ar"/>
              </w:rPr>
              <w:t>每提供1个得1分，该项最高得分为</w:t>
            </w:r>
            <w:r>
              <w:rPr>
                <w:rFonts w:hint="eastAsia" w:ascii="宋体" w:hAnsi="宋体" w:cs="宋体"/>
                <w:szCs w:val="21"/>
                <w:highlight w:val="none"/>
                <w:lang w:bidi="ar"/>
              </w:rPr>
              <w:t>3分，未提供不得分。（</w:t>
            </w:r>
            <w:r>
              <w:rPr>
                <w:rFonts w:hint="eastAsia" w:ascii="宋体" w:hAnsi="宋体" w:cs="宋体"/>
                <w:szCs w:val="21"/>
                <w:highlight w:val="none"/>
                <w:lang w:val="en-US" w:eastAsia="zh-CN" w:bidi="ar"/>
              </w:rPr>
              <w:t>证书可</w:t>
            </w:r>
            <w:r>
              <w:rPr>
                <w:rFonts w:hint="eastAsia" w:ascii="宋体" w:hAnsi="宋体" w:cs="宋体"/>
                <w:szCs w:val="21"/>
                <w:lang w:val="en-US" w:eastAsia="zh-CN" w:bidi="ar"/>
              </w:rPr>
              <w:t>在中国招标投标网查询，</w:t>
            </w:r>
            <w:r>
              <w:rPr>
                <w:rFonts w:hint="eastAsia" w:ascii="宋体" w:hAnsi="宋体" w:cs="宋体"/>
                <w:szCs w:val="21"/>
                <w:lang w:bidi="ar"/>
              </w:rPr>
              <w:t>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4</w:t>
            </w:r>
          </w:p>
        </w:tc>
        <w:tc>
          <w:tcPr>
            <w:tcW w:w="1656" w:type="dxa"/>
            <w:vAlign w:val="center"/>
          </w:tcPr>
          <w:p>
            <w:pPr>
              <w:adjustRightInd w:val="0"/>
              <w:snapToGrid w:val="0"/>
              <w:textAlignment w:val="baseline"/>
              <w:rPr>
                <w:rFonts w:ascii="宋体" w:hAnsi="宋体"/>
              </w:rPr>
            </w:pPr>
            <w:r>
              <w:rPr>
                <w:rFonts w:hint="eastAsia" w:ascii="宋体" w:hAnsi="宋体"/>
              </w:rPr>
              <w:t>质量管理体系ISO 9001认证证书</w:t>
            </w:r>
          </w:p>
          <w:p>
            <w:pPr>
              <w:rPr>
                <w:rFonts w:hint="eastAsia" w:ascii="宋体" w:hAnsi="宋体" w:eastAsia="宋体" w:cs="宋体"/>
                <w:sz w:val="22"/>
                <w:szCs w:val="21"/>
                <w:lang w:val="en-US" w:eastAsia="zh-CN" w:bidi="ar"/>
              </w:rPr>
            </w:pPr>
            <w:r>
              <w:rPr>
                <w:rFonts w:hint="eastAsia" w:ascii="宋体" w:hAnsi="宋体"/>
              </w:rPr>
              <w:t>环境管理体系ISO14001认证证书</w:t>
            </w:r>
          </w:p>
        </w:tc>
        <w:tc>
          <w:tcPr>
            <w:tcW w:w="1312" w:type="dxa"/>
            <w:vAlign w:val="center"/>
          </w:tcPr>
          <w:p>
            <w:pPr>
              <w:adjustRightInd w:val="0"/>
              <w:snapToGrid w:val="0"/>
              <w:spacing w:line="360" w:lineRule="exact"/>
              <w:jc w:val="center"/>
              <w:textAlignment w:val="baseline"/>
              <w:rPr>
                <w:rFonts w:ascii="宋体" w:hAnsi="宋体" w:eastAsia="宋体" w:cs="宋体"/>
                <w:sz w:val="22"/>
                <w:szCs w:val="22"/>
                <w:lang w:val="en-US" w:eastAsia="zh-CN" w:bidi="en-US"/>
              </w:rPr>
            </w:pPr>
            <w:r>
              <w:rPr>
                <w:rFonts w:ascii="宋体" w:hAnsi="宋体" w:cs="宋体"/>
              </w:rPr>
              <w:t>3</w:t>
            </w:r>
          </w:p>
        </w:tc>
        <w:tc>
          <w:tcPr>
            <w:tcW w:w="6527" w:type="dxa"/>
            <w:vAlign w:val="center"/>
          </w:tcPr>
          <w:p>
            <w:pPr>
              <w:adjustRightInd w:val="0"/>
              <w:snapToGrid w:val="0"/>
              <w:textAlignment w:val="baseline"/>
              <w:rPr>
                <w:rFonts w:ascii="宋体" w:hAnsi="宋体"/>
              </w:rPr>
            </w:pPr>
            <w:r>
              <w:rPr>
                <w:rFonts w:hint="eastAsia" w:ascii="宋体" w:hAnsi="宋体"/>
              </w:rPr>
              <w:t>质量管理体系ISO 9001认证证书得1分，</w:t>
            </w:r>
          </w:p>
          <w:p>
            <w:pPr>
              <w:adjustRightInd w:val="0"/>
              <w:snapToGrid w:val="0"/>
              <w:textAlignment w:val="baseline"/>
              <w:rPr>
                <w:rFonts w:hint="eastAsia" w:ascii="宋体" w:hAnsi="宋体"/>
              </w:rPr>
            </w:pPr>
            <w:r>
              <w:rPr>
                <w:rFonts w:hint="eastAsia" w:ascii="宋体" w:hAnsi="宋体"/>
              </w:rPr>
              <w:t>环境管理体系ISO14001认证证书得1分</w:t>
            </w:r>
          </w:p>
          <w:p>
            <w:pPr>
              <w:adjustRightInd w:val="0"/>
              <w:snapToGrid w:val="0"/>
              <w:textAlignment w:val="baseline"/>
              <w:rPr>
                <w:rFonts w:hint="eastAsia" w:ascii="宋体" w:hAnsi="宋体"/>
              </w:rPr>
            </w:pPr>
            <w:r>
              <w:rPr>
                <w:rFonts w:hint="eastAsia" w:ascii="宋体" w:hAnsi="宋体"/>
              </w:rPr>
              <w:t>职业健康安全管理体系ISO18001认证证书得1分，</w:t>
            </w:r>
          </w:p>
          <w:p>
            <w:pPr>
              <w:adjustRightInd w:val="0"/>
              <w:snapToGrid w:val="0"/>
              <w:spacing w:line="360" w:lineRule="exact"/>
              <w:textAlignment w:val="baseline"/>
              <w:rPr>
                <w:rFonts w:hint="default" w:ascii="宋体" w:hAnsi="宋体" w:eastAsia="宋体" w:cs="宋体"/>
                <w:sz w:val="22"/>
                <w:szCs w:val="21"/>
                <w:lang w:val="en-US" w:eastAsia="zh-CN" w:bidi="ar"/>
              </w:rPr>
            </w:pPr>
            <w:r>
              <w:rPr>
                <w:rFonts w:hint="eastAsia" w:ascii="宋体" w:hAnsi="宋体" w:cs="宋体"/>
                <w:szCs w:val="21"/>
                <w:lang w:bidi="ar"/>
              </w:rPr>
              <w:t>（提供有效复印件加盖投标人公章</w:t>
            </w:r>
            <w:r>
              <w:rPr>
                <w:rFonts w:hint="eastAsia" w:ascii="宋体" w:hAnsi="宋体" w:cs="宋体"/>
                <w:szCs w:val="21"/>
                <w:lang w:eastAsia="zh-Hans" w:bidi="ar"/>
              </w:rPr>
              <w:t>，</w:t>
            </w:r>
            <w:r>
              <w:rPr>
                <w:rFonts w:hint="eastAsia" w:ascii="宋体" w:hAnsi="宋体" w:cs="宋体"/>
                <w:szCs w:val="21"/>
                <w:lang w:bidi="ar"/>
              </w:rPr>
              <w:t>原件备查）</w:t>
            </w:r>
            <w:r>
              <w:rPr>
                <w:rFonts w:hint="eastAsia" w:ascii="宋体" w:hAnsi="宋体" w:cs="宋体"/>
                <w:szCs w:val="21"/>
                <w:lang w:eastAsia="zh-CN" w:bidi="ar"/>
              </w:rPr>
              <w:t>，</w:t>
            </w:r>
            <w:r>
              <w:rPr>
                <w:rFonts w:hint="eastAsia" w:ascii="宋体" w:hAnsi="宋体" w:cs="宋体"/>
                <w:szCs w:val="21"/>
                <w:lang w:val="en-US" w:eastAsia="zh-CN" w:bidi="ar"/>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5</w:t>
            </w:r>
          </w:p>
        </w:tc>
        <w:tc>
          <w:tcPr>
            <w:tcW w:w="1656"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zh-CN" w:eastAsia="en-US" w:bidi="en-US"/>
              </w:rPr>
            </w:pPr>
            <w:r>
              <w:rPr>
                <w:rFonts w:hint="eastAsia" w:ascii="宋体" w:hAnsi="宋体" w:cs="宋体"/>
                <w:lang w:val="zh-CN"/>
              </w:rPr>
              <w:t>业绩证明</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rPr>
              <w:t>近三年内，承接展览面积5万平米及以上</w:t>
            </w:r>
            <w:r>
              <w:rPr>
                <w:rFonts w:hint="eastAsia" w:ascii="宋体" w:hAnsi="宋体" w:cs="宋体"/>
                <w:lang w:val="en-US" w:eastAsia="zh-CN"/>
              </w:rPr>
              <w:t>展会</w:t>
            </w:r>
            <w:r>
              <w:rPr>
                <w:rFonts w:hint="eastAsia" w:ascii="宋体" w:hAnsi="宋体" w:cs="宋体"/>
              </w:rPr>
              <w:t>服务案例</w:t>
            </w:r>
            <w:r>
              <w:rPr>
                <w:rFonts w:hint="eastAsia" w:ascii="宋体" w:hAnsi="宋体" w:cs="宋体"/>
                <w:lang w:val="en-US" w:eastAsia="zh-CN"/>
              </w:rPr>
              <w:t>2</w:t>
            </w:r>
            <w:r>
              <w:rPr>
                <w:rFonts w:hint="eastAsia" w:ascii="宋体" w:hAnsi="宋体" w:cs="宋体"/>
              </w:rPr>
              <w:t>个得</w:t>
            </w:r>
            <w:r>
              <w:rPr>
                <w:rFonts w:ascii="宋体" w:hAnsi="宋体" w:cs="宋体"/>
              </w:rPr>
              <w:t>1</w:t>
            </w:r>
            <w:r>
              <w:rPr>
                <w:rFonts w:hint="eastAsia" w:ascii="宋体" w:hAnsi="宋体" w:cs="宋体"/>
              </w:rPr>
              <w:t>分；</w:t>
            </w:r>
            <w:r>
              <w:rPr>
                <w:rFonts w:hint="eastAsia" w:ascii="宋体" w:hAnsi="宋体" w:cs="宋体"/>
                <w:lang w:val="en-US" w:eastAsia="zh-CN"/>
              </w:rPr>
              <w:t>3</w:t>
            </w:r>
            <w:r>
              <w:rPr>
                <w:rFonts w:hint="eastAsia" w:ascii="宋体" w:hAnsi="宋体" w:cs="宋体"/>
              </w:rPr>
              <w:t>个得</w:t>
            </w:r>
            <w:r>
              <w:rPr>
                <w:rFonts w:ascii="宋体" w:hAnsi="宋体" w:cs="宋体"/>
              </w:rPr>
              <w:t>2</w:t>
            </w:r>
            <w:r>
              <w:rPr>
                <w:rFonts w:hint="eastAsia" w:ascii="宋体" w:hAnsi="宋体" w:cs="宋体"/>
              </w:rPr>
              <w:t>分；</w:t>
            </w:r>
            <w:r>
              <w:rPr>
                <w:rFonts w:hint="eastAsia" w:ascii="宋体" w:hAnsi="宋体" w:cs="宋体"/>
                <w:lang w:val="en-US" w:eastAsia="zh-CN"/>
              </w:rPr>
              <w:t>3</w:t>
            </w:r>
            <w:r>
              <w:rPr>
                <w:rFonts w:hint="eastAsia" w:ascii="宋体" w:hAnsi="宋体" w:cs="宋体"/>
              </w:rPr>
              <w:t>个</w:t>
            </w:r>
            <w:r>
              <w:rPr>
                <w:rFonts w:hint="eastAsia" w:ascii="宋体" w:hAnsi="宋体" w:cs="宋体"/>
                <w:lang w:val="en-US" w:eastAsia="zh-CN"/>
              </w:rPr>
              <w:t>以上</w:t>
            </w:r>
            <w:r>
              <w:rPr>
                <w:rFonts w:hint="eastAsia" w:ascii="宋体" w:hAnsi="宋体" w:cs="宋体"/>
              </w:rPr>
              <w:t>得</w:t>
            </w:r>
            <w:r>
              <w:rPr>
                <w:rFonts w:ascii="宋体" w:hAnsi="宋体" w:cs="宋体"/>
              </w:rPr>
              <w:t>3</w:t>
            </w:r>
            <w:r>
              <w:rPr>
                <w:rFonts w:hint="eastAsia" w:ascii="宋体" w:hAnsi="宋体" w:cs="宋体"/>
              </w:rPr>
              <w:t>分。</w:t>
            </w:r>
            <w:r>
              <w:rPr>
                <w:rFonts w:hint="eastAsia" w:ascii="宋体" w:hAnsi="宋体" w:cs="宋体"/>
                <w:lang w:val="en-US" w:eastAsia="zh-CN"/>
              </w:rPr>
              <w:t>未提供不得分。</w:t>
            </w:r>
            <w:r>
              <w:rPr>
                <w:rFonts w:hint="eastAsia" w:ascii="宋体" w:hAnsi="宋体" w:cs="宋体"/>
              </w:rPr>
              <w:t>（服务案例需要附合同复印件加盖公章）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6</w:t>
            </w:r>
          </w:p>
        </w:tc>
        <w:tc>
          <w:tcPr>
            <w:tcW w:w="1656" w:type="dxa"/>
            <w:tcBorders>
              <w:bottom w:val="single" w:color="auto" w:sz="4" w:space="0"/>
            </w:tcBorders>
            <w:vAlign w:val="center"/>
          </w:tcPr>
          <w:p>
            <w:pPr>
              <w:jc w:val="center"/>
              <w:rPr>
                <w:rFonts w:hint="eastAsia" w:ascii="宋体" w:hAnsi="宋体" w:eastAsia="Times New Roman" w:cs="宋体"/>
                <w:sz w:val="22"/>
                <w:szCs w:val="22"/>
                <w:lang w:val="zh-CN" w:eastAsia="zh-Hans" w:bidi="en-US"/>
              </w:rPr>
            </w:pPr>
            <w:r>
              <w:rPr>
                <w:rFonts w:hint="eastAsia" w:ascii="宋体" w:hAnsi="宋体" w:cs="宋体"/>
                <w:szCs w:val="21"/>
                <w:lang w:eastAsia="zh-Hans"/>
              </w:rPr>
              <w:t>展会策划</w:t>
            </w:r>
          </w:p>
        </w:tc>
        <w:tc>
          <w:tcPr>
            <w:tcW w:w="1312" w:type="dxa"/>
            <w:tcBorders>
              <w:bottom w:val="single" w:color="auto" w:sz="4" w:space="0"/>
            </w:tcBorders>
            <w:vAlign w:val="center"/>
          </w:tcPr>
          <w:p>
            <w:pPr>
              <w:jc w:val="center"/>
              <w:rPr>
                <w:rFonts w:hint="eastAsia" w:ascii="宋体" w:hAnsi="宋体" w:eastAsia="宋体" w:cs="宋体"/>
                <w:sz w:val="22"/>
                <w:szCs w:val="22"/>
                <w:lang w:val="zh-CN" w:eastAsia="zh-CN" w:bidi="en-US"/>
              </w:rPr>
            </w:pPr>
            <w:r>
              <w:rPr>
                <w:rFonts w:hint="eastAsia" w:ascii="宋体" w:hAnsi="宋体" w:cs="宋体"/>
                <w:szCs w:val="21"/>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szCs w:val="21"/>
                <w:lang w:bidi="ar"/>
              </w:rPr>
              <w:t>项目执行团队中现场经理或负责人具有会展策划师的</w:t>
            </w:r>
            <w:r>
              <w:rPr>
                <w:rFonts w:hint="eastAsia" w:ascii="宋体" w:hAnsi="宋体" w:cs="宋体"/>
                <w:szCs w:val="21"/>
                <w:lang w:eastAsia="zh-Hans" w:bidi="ar"/>
              </w:rPr>
              <w:t>，提供一个得</w:t>
            </w:r>
            <w:r>
              <w:rPr>
                <w:rFonts w:ascii="宋体" w:hAnsi="宋体" w:cs="宋体"/>
                <w:szCs w:val="21"/>
                <w:lang w:eastAsia="zh-Hans" w:bidi="ar"/>
              </w:rPr>
              <w:t>1</w:t>
            </w:r>
            <w:r>
              <w:rPr>
                <w:rFonts w:hint="eastAsia" w:ascii="宋体" w:hAnsi="宋体" w:cs="宋体"/>
                <w:szCs w:val="21"/>
                <w:lang w:eastAsia="zh-Hans" w:bidi="ar"/>
              </w:rPr>
              <w:t>分，</w:t>
            </w:r>
            <w:r>
              <w:rPr>
                <w:rFonts w:hint="eastAsia" w:ascii="宋体" w:hAnsi="宋体" w:cs="宋体"/>
                <w:szCs w:val="21"/>
                <w:lang w:val="en-US" w:eastAsia="zh-CN" w:bidi="ar"/>
              </w:rPr>
              <w:t>该项最高得分为2分</w:t>
            </w:r>
            <w:r>
              <w:rPr>
                <w:rFonts w:hint="eastAsia" w:ascii="宋体" w:hAnsi="宋体" w:cs="宋体"/>
                <w:szCs w:val="21"/>
                <w:lang w:bidi="ar"/>
              </w:rPr>
              <w:t>，投标人需在投标文件中提供相应的证明材料并加盖公章，未提供不得分。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7</w:t>
            </w:r>
          </w:p>
        </w:tc>
        <w:tc>
          <w:tcPr>
            <w:tcW w:w="1656" w:type="dxa"/>
            <w:tcBorders>
              <w:bottom w:val="single" w:color="auto" w:sz="4" w:space="0"/>
            </w:tcBorders>
            <w:vAlign w:val="center"/>
          </w:tcPr>
          <w:p>
            <w:pPr>
              <w:jc w:val="center"/>
              <w:rPr>
                <w:rFonts w:hint="eastAsia" w:ascii="宋体" w:hAnsi="宋体" w:eastAsia="宋体" w:cs="宋体"/>
                <w:sz w:val="22"/>
                <w:szCs w:val="22"/>
                <w:lang w:val="zh-CN" w:eastAsia="en-US" w:bidi="en-US"/>
              </w:rPr>
            </w:pPr>
            <w:r>
              <w:rPr>
                <w:rFonts w:hint="eastAsia" w:ascii="宋体" w:hAnsi="宋体" w:cs="宋体"/>
                <w:szCs w:val="21"/>
                <w:lang w:eastAsia="zh-Hans"/>
              </w:rPr>
              <w:t>安全</w:t>
            </w:r>
            <w:r>
              <w:rPr>
                <w:rFonts w:hint="eastAsia" w:ascii="宋体" w:hAnsi="宋体" w:cs="宋体"/>
                <w:szCs w:val="21"/>
              </w:rPr>
              <w:t>保障</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zh-CN" w:eastAsia="zh-CN" w:bidi="en-US"/>
              </w:rPr>
            </w:pPr>
            <w:r>
              <w:rPr>
                <w:rFonts w:hint="eastAsia" w:ascii="宋体" w:hAnsi="宋体" w:cs="宋体"/>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2"/>
                <w:lang w:val="zh-CN" w:eastAsia="en-US" w:bidi="en-US"/>
              </w:rPr>
            </w:pPr>
            <w:r>
              <w:rPr>
                <w:rFonts w:hint="eastAsia" w:ascii="宋体" w:hAnsi="宋体" w:cs="宋体"/>
                <w:szCs w:val="21"/>
                <w:lang w:bidi="ar"/>
              </w:rPr>
              <w:t>项目执行团队中现场经理或负责人具有</w:t>
            </w:r>
            <w:r>
              <w:rPr>
                <w:rFonts w:hint="eastAsia" w:ascii="宋体" w:hAnsi="宋体" w:cs="宋体"/>
                <w:szCs w:val="21"/>
                <w:lang w:eastAsia="zh-Hans" w:bidi="ar"/>
              </w:rPr>
              <w:t>安全管理员</w:t>
            </w:r>
            <w:r>
              <w:rPr>
                <w:rFonts w:hint="eastAsia" w:ascii="宋体" w:hAnsi="宋体" w:cs="宋体"/>
                <w:szCs w:val="21"/>
                <w:lang w:bidi="ar"/>
              </w:rPr>
              <w:t>的</w:t>
            </w:r>
            <w:r>
              <w:rPr>
                <w:rFonts w:hint="eastAsia" w:ascii="宋体" w:hAnsi="宋体" w:cs="宋体"/>
                <w:szCs w:val="21"/>
                <w:lang w:eastAsia="zh-Hans" w:bidi="ar"/>
              </w:rPr>
              <w:t>，提供一个得</w:t>
            </w:r>
            <w:r>
              <w:rPr>
                <w:rFonts w:ascii="宋体" w:hAnsi="宋体" w:cs="宋体"/>
                <w:szCs w:val="21"/>
                <w:lang w:eastAsia="zh-Hans" w:bidi="ar"/>
              </w:rPr>
              <w:t>1</w:t>
            </w:r>
            <w:r>
              <w:rPr>
                <w:rFonts w:hint="eastAsia" w:ascii="宋体" w:hAnsi="宋体" w:cs="宋体"/>
                <w:szCs w:val="21"/>
                <w:lang w:eastAsia="zh-Hans" w:bidi="ar"/>
              </w:rPr>
              <w:t>分，</w:t>
            </w:r>
            <w:r>
              <w:rPr>
                <w:rFonts w:hint="eastAsia" w:ascii="宋体" w:hAnsi="宋体" w:cs="宋体"/>
                <w:szCs w:val="21"/>
                <w:lang w:val="en-US" w:eastAsia="zh-CN" w:bidi="ar"/>
              </w:rPr>
              <w:t>该项最高得分为2分</w:t>
            </w:r>
            <w:r>
              <w:rPr>
                <w:rFonts w:hint="eastAsia" w:ascii="宋体" w:hAnsi="宋体" w:cs="宋体"/>
                <w:szCs w:val="21"/>
                <w:lang w:bidi="ar"/>
              </w:rPr>
              <w:t>，投标人需在投标文件中提供相应的证明材料并加盖公章，未提供不得分。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8</w:t>
            </w:r>
          </w:p>
        </w:tc>
        <w:tc>
          <w:tcPr>
            <w:tcW w:w="1656" w:type="dxa"/>
            <w:tcBorders>
              <w:bottom w:val="single" w:color="auto" w:sz="4" w:space="0"/>
            </w:tcBorders>
            <w:vAlign w:val="center"/>
          </w:tcPr>
          <w:p>
            <w:pPr>
              <w:jc w:val="center"/>
              <w:rPr>
                <w:rFonts w:hint="eastAsia" w:ascii="宋体" w:hAnsi="宋体" w:eastAsia="Times New Roman" w:cs="宋体"/>
                <w:sz w:val="22"/>
                <w:szCs w:val="22"/>
                <w:lang w:val="zh-CN" w:eastAsia="zh-Hans" w:bidi="en-US"/>
              </w:rPr>
            </w:pPr>
            <w:r>
              <w:rPr>
                <w:rFonts w:hint="eastAsia" w:ascii="宋体" w:hAnsi="宋体" w:cs="宋体"/>
                <w:szCs w:val="21"/>
                <w:lang w:eastAsia="zh-Hans" w:bidi="ar"/>
              </w:rPr>
              <w:t>搭建资质</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pStyle w:val="2"/>
              <w:jc w:val="left"/>
              <w:rPr>
                <w:rFonts w:hint="eastAsia" w:ascii="Calibri" w:hAnsi="宋体" w:eastAsia="宋体" w:cs="宋体"/>
                <w:kern w:val="2"/>
                <w:sz w:val="24"/>
                <w:szCs w:val="21"/>
                <w:lang w:val="en-US" w:eastAsia="zh-CN" w:bidi="ar"/>
              </w:rPr>
            </w:pPr>
            <w:r>
              <w:rPr>
                <w:rFonts w:hint="eastAsia" w:hAnsi="宋体" w:cs="宋体"/>
                <w:kern w:val="2"/>
                <w:sz w:val="21"/>
                <w:szCs w:val="21"/>
                <w:lang w:eastAsia="zh-Hans" w:bidi="ar"/>
              </w:rPr>
              <w:t>根据投标人会展设计、搭建工程企业资质进行评分，AAA企业得3分，AA企业得2分，A企业得1分，需提供有效的证书，未提供不得分。</w:t>
            </w:r>
            <w:r>
              <w:rPr>
                <w:rFonts w:hint="eastAsia" w:hAnsi="宋体" w:cs="宋体"/>
                <w:color w:val="E36C09"/>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9</w:t>
            </w:r>
          </w:p>
        </w:tc>
        <w:tc>
          <w:tcPr>
            <w:tcW w:w="1656" w:type="dxa"/>
            <w:tcBorders>
              <w:bottom w:val="single" w:color="auto" w:sz="4" w:space="0"/>
            </w:tcBorders>
            <w:vAlign w:val="center"/>
          </w:tcPr>
          <w:p>
            <w:pPr>
              <w:jc w:val="center"/>
              <w:rPr>
                <w:rFonts w:hint="eastAsia" w:ascii="宋体" w:hAnsi="宋体" w:eastAsia="宋体" w:cs="宋体"/>
                <w:sz w:val="22"/>
                <w:szCs w:val="21"/>
                <w:lang w:val="en-US" w:eastAsia="zh-CN" w:bidi="ar"/>
              </w:rPr>
            </w:pPr>
            <w:r>
              <w:rPr>
                <w:rFonts w:hint="eastAsia" w:ascii="宋体" w:hAnsi="宋体" w:eastAsia="宋体" w:cs="宋体"/>
                <w:sz w:val="22"/>
                <w:szCs w:val="21"/>
                <w:lang w:val="en-US" w:eastAsia="zh-CN" w:bidi="ar"/>
              </w:rPr>
              <w:t>守信激励评价</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lang w:val="en-US" w:eastAsia="en-US" w:bidi="ar"/>
              </w:rPr>
            </w:pPr>
            <w:r>
              <w:rPr>
                <w:rFonts w:hint="eastAsia" w:ascii="宋体" w:hAnsi="宋体" w:cs="宋体"/>
                <w:szCs w:val="21"/>
                <w:lang w:bidi="ar"/>
              </w:rPr>
              <w:t>根据投标人提供的2018-2020年度信用中国（www.creditchina.gov.cn)给予的“纳税信用A级纳税人”评价，每提供1个得1分，该项最高得分为3分。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10</w:t>
            </w:r>
          </w:p>
        </w:tc>
        <w:tc>
          <w:tcPr>
            <w:tcW w:w="1656" w:type="dxa"/>
            <w:tcBorders>
              <w:bottom w:val="single" w:color="auto" w:sz="4" w:space="0"/>
            </w:tcBorders>
            <w:vAlign w:val="center"/>
          </w:tcPr>
          <w:p>
            <w:pPr>
              <w:jc w:val="center"/>
              <w:rPr>
                <w:rFonts w:hint="eastAsia" w:ascii="宋体" w:hAnsi="宋体" w:eastAsia="宋体" w:cs="宋体"/>
                <w:sz w:val="22"/>
                <w:szCs w:val="21"/>
                <w:lang w:val="en-US" w:eastAsia="en-US" w:bidi="ar"/>
              </w:rPr>
            </w:pPr>
            <w:r>
              <w:rPr>
                <w:rFonts w:hint="eastAsia" w:ascii="宋体" w:hAnsi="宋体" w:cs="宋体"/>
                <w:szCs w:val="21"/>
              </w:rPr>
              <w:t>组织协调能力证明</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highlight w:val="yellow"/>
                <w:lang w:val="en-US" w:eastAsia="en-US" w:bidi="ar"/>
              </w:rPr>
            </w:pPr>
            <w:r>
              <w:rPr>
                <w:rFonts w:hint="eastAsia" w:ascii="宋体" w:hAnsi="宋体" w:cs="宋体"/>
                <w:szCs w:val="21"/>
                <w:highlight w:val="none"/>
              </w:rPr>
              <w:t>投标人近三年所承办的政府采购类展会项目，获得过主体活动单位或相关部门颁发的“</w:t>
            </w:r>
            <w:r>
              <w:rPr>
                <w:rFonts w:hint="eastAsia" w:ascii="宋体" w:hAnsi="宋体" w:cs="宋体"/>
                <w:szCs w:val="21"/>
                <w:highlight w:val="none"/>
                <w:lang w:val="en-US" w:eastAsia="zh-CN"/>
              </w:rPr>
              <w:t>感谢信</w:t>
            </w:r>
            <w:r>
              <w:rPr>
                <w:rFonts w:hint="eastAsia" w:ascii="宋体" w:hAnsi="宋体" w:cs="宋体"/>
                <w:szCs w:val="21"/>
                <w:highlight w:val="none"/>
              </w:rPr>
              <w:t>”或“</w:t>
            </w:r>
            <w:r>
              <w:rPr>
                <w:rFonts w:hint="eastAsia" w:ascii="宋体" w:hAnsi="宋体" w:cs="宋体"/>
                <w:szCs w:val="21"/>
                <w:highlight w:val="none"/>
                <w:lang w:val="en-US" w:eastAsia="zh-CN"/>
              </w:rPr>
              <w:t>荣誉证书</w:t>
            </w:r>
            <w:r>
              <w:rPr>
                <w:rFonts w:hint="eastAsia" w:ascii="宋体" w:hAnsi="宋体" w:cs="宋体"/>
                <w:szCs w:val="21"/>
                <w:highlight w:val="none"/>
              </w:rPr>
              <w:t>”的，每提供一个得1分，（需提供相应资料备查），本项最高得分3分。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11</w:t>
            </w:r>
          </w:p>
        </w:tc>
        <w:tc>
          <w:tcPr>
            <w:tcW w:w="1656" w:type="dxa"/>
            <w:tcBorders>
              <w:bottom w:val="single" w:color="auto" w:sz="4" w:space="0"/>
            </w:tcBorders>
            <w:vAlign w:val="center"/>
          </w:tcPr>
          <w:p>
            <w:pPr>
              <w:jc w:val="center"/>
              <w:rPr>
                <w:rFonts w:hint="eastAsia" w:ascii="宋体" w:hAnsi="宋体" w:eastAsia="Times New Roman" w:cs="宋体"/>
                <w:sz w:val="22"/>
                <w:szCs w:val="21"/>
                <w:lang w:val="en-US" w:eastAsia="zh-Hans" w:bidi="en-US"/>
              </w:rPr>
            </w:pPr>
            <w:r>
              <w:rPr>
                <w:rFonts w:hint="eastAsia" w:ascii="宋体" w:hAnsi="宋体" w:cs="宋体"/>
                <w:szCs w:val="21"/>
                <w:lang w:eastAsia="zh-Hans"/>
              </w:rPr>
              <w:t>获奖情况</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hint="eastAsia" w:ascii="宋体" w:hAnsi="宋体" w:cs="宋体"/>
              </w:rPr>
              <w:t>3</w:t>
            </w:r>
          </w:p>
        </w:tc>
        <w:tc>
          <w:tcPr>
            <w:tcW w:w="6527" w:type="dxa"/>
            <w:tcBorders>
              <w:bottom w:val="single" w:color="auto" w:sz="4" w:space="0"/>
            </w:tcBorders>
            <w:vAlign w:val="center"/>
          </w:tcPr>
          <w:p>
            <w:pPr>
              <w:adjustRightInd w:val="0"/>
              <w:snapToGrid w:val="0"/>
              <w:spacing w:line="360" w:lineRule="exact"/>
              <w:textAlignment w:val="baseline"/>
              <w:rPr>
                <w:rFonts w:hint="eastAsia" w:ascii="宋体" w:hAnsi="宋体" w:eastAsia="宋体" w:cs="宋体"/>
                <w:sz w:val="22"/>
                <w:szCs w:val="21"/>
                <w:highlight w:val="yellow"/>
                <w:lang w:val="en-US" w:eastAsia="en-US" w:bidi="en-US"/>
              </w:rPr>
            </w:pPr>
            <w:r>
              <w:rPr>
                <w:rFonts w:hint="eastAsia" w:ascii="宋体" w:hAnsi="宋体" w:cs="宋体"/>
                <w:szCs w:val="21"/>
                <w:highlight w:val="none"/>
              </w:rPr>
              <w:t>投标人近</w:t>
            </w:r>
            <w:r>
              <w:rPr>
                <w:rFonts w:hint="eastAsia" w:ascii="宋体" w:hAnsi="宋体" w:cs="宋体"/>
                <w:szCs w:val="21"/>
                <w:highlight w:val="none"/>
                <w:lang w:val="en-US" w:eastAsia="zh-CN"/>
              </w:rPr>
              <w:t>五</w:t>
            </w:r>
            <w:r>
              <w:rPr>
                <w:rFonts w:hint="eastAsia" w:ascii="宋体" w:hAnsi="宋体" w:cs="宋体"/>
                <w:szCs w:val="21"/>
                <w:highlight w:val="none"/>
              </w:rPr>
              <w:t>年</w:t>
            </w:r>
            <w:r>
              <w:rPr>
                <w:rFonts w:hint="eastAsia" w:ascii="宋体" w:hAnsi="宋体" w:cs="宋体"/>
                <w:szCs w:val="21"/>
                <w:highlight w:val="none"/>
                <w:lang w:val="en-US" w:eastAsia="zh-CN"/>
              </w:rPr>
              <w:t>内获得市级展会类相关奖项</w:t>
            </w:r>
            <w:r>
              <w:rPr>
                <w:rFonts w:hint="eastAsia" w:ascii="宋体" w:hAnsi="宋体" w:cs="宋体"/>
                <w:szCs w:val="21"/>
                <w:highlight w:val="none"/>
              </w:rPr>
              <w:t>，每提供一个得1分，（需提供相应资料备查），本项最高得分3分。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default" w:ascii="宋体" w:hAnsi="宋体" w:eastAsia="宋体" w:cs="宋体"/>
                <w:lang w:val="en-US" w:eastAsia="zh-CN"/>
              </w:rPr>
            </w:pPr>
            <w:r>
              <w:rPr>
                <w:rFonts w:hint="eastAsia" w:ascii="宋体" w:hAnsi="宋体" w:cs="宋体"/>
                <w:lang w:val="en-US" w:eastAsia="zh-CN"/>
              </w:rPr>
              <w:t>12</w:t>
            </w:r>
          </w:p>
        </w:tc>
        <w:tc>
          <w:tcPr>
            <w:tcW w:w="1656" w:type="dxa"/>
            <w:tcBorders>
              <w:bottom w:val="single" w:color="auto" w:sz="4" w:space="0"/>
            </w:tcBorders>
            <w:vAlign w:val="center"/>
          </w:tcPr>
          <w:p>
            <w:pPr>
              <w:adjustRightInd w:val="0"/>
              <w:snapToGrid w:val="0"/>
              <w:spacing w:line="360" w:lineRule="exact"/>
              <w:ind w:left="220" w:leftChars="0" w:hanging="220" w:hangingChars="100"/>
              <w:jc w:val="center"/>
              <w:textAlignment w:val="baseline"/>
              <w:rPr>
                <w:rFonts w:hint="default" w:ascii="宋体" w:hAnsi="宋体" w:cs="宋体"/>
                <w:lang w:val="en-US" w:eastAsia="zh-CN"/>
              </w:rPr>
            </w:pPr>
            <w:r>
              <w:rPr>
                <w:rFonts w:hint="eastAsia" w:ascii="宋体" w:hAnsi="宋体" w:cs="宋体"/>
                <w:lang w:val="en-US" w:eastAsia="zh-CN"/>
              </w:rPr>
              <w:t>异地执行</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lang w:val="en-US" w:eastAsia="zh-CN"/>
              </w:rPr>
            </w:pPr>
            <w:r>
              <w:rPr>
                <w:rFonts w:hint="eastAsia" w:ascii="宋体" w:hAnsi="宋体" w:cs="宋体"/>
                <w:lang w:val="en-US" w:eastAsia="zh-CN"/>
              </w:rPr>
              <w:t>2</w:t>
            </w:r>
          </w:p>
        </w:tc>
        <w:tc>
          <w:tcPr>
            <w:tcW w:w="6527" w:type="dxa"/>
            <w:tcBorders>
              <w:bottom w:val="single" w:color="auto" w:sz="4" w:space="0"/>
            </w:tcBorders>
            <w:vAlign w:val="center"/>
          </w:tcPr>
          <w:p>
            <w:pPr>
              <w:adjustRightInd w:val="0"/>
              <w:snapToGrid w:val="0"/>
              <w:spacing w:line="360" w:lineRule="exact"/>
              <w:textAlignment w:val="baseline"/>
              <w:rPr>
                <w:rFonts w:hint="default" w:ascii="宋体" w:hAnsi="宋体" w:cs="宋体"/>
                <w:szCs w:val="21"/>
                <w:lang w:val="en-US" w:eastAsia="zh-CN"/>
              </w:rPr>
            </w:pPr>
            <w:r>
              <w:rPr>
                <w:rFonts w:hint="eastAsia" w:ascii="宋体" w:hAnsi="宋体" w:cs="宋体"/>
                <w:szCs w:val="21"/>
                <w:lang w:val="en-US" w:eastAsia="zh-CN"/>
              </w:rPr>
              <w:t>投标人在福建省外的城市承接过路演推介或会议活动不少于5场的得1分，超过5场的每多一场得1分，该项最高得分为2分，未提供不得分。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zh-CN" w:bidi="en-US"/>
              </w:rPr>
            </w:pPr>
            <w:r>
              <w:rPr>
                <w:rFonts w:ascii="宋体" w:hAnsi="宋体" w:cs="宋体"/>
              </w:rPr>
              <w:t>1</w:t>
            </w:r>
            <w:r>
              <w:rPr>
                <w:rFonts w:hint="eastAsia" w:ascii="宋体" w:hAnsi="宋体" w:cs="宋体"/>
                <w:lang w:val="en-US" w:eastAsia="zh-CN"/>
              </w:rPr>
              <w:t>3</w:t>
            </w:r>
          </w:p>
        </w:tc>
        <w:tc>
          <w:tcPr>
            <w:tcW w:w="1656" w:type="dxa"/>
            <w:tcBorders>
              <w:bottom w:val="single" w:color="auto" w:sz="4" w:space="0"/>
            </w:tcBorders>
            <w:vAlign w:val="center"/>
          </w:tcPr>
          <w:p>
            <w:pPr>
              <w:adjustRightInd w:val="0"/>
              <w:snapToGrid w:val="0"/>
              <w:spacing w:line="360" w:lineRule="exact"/>
              <w:ind w:left="220" w:leftChars="0" w:hanging="220" w:hangingChars="100"/>
              <w:jc w:val="center"/>
              <w:textAlignment w:val="baseline"/>
              <w:rPr>
                <w:rFonts w:hint="eastAsia" w:ascii="宋体" w:hAnsi="宋体" w:eastAsia="宋体" w:cs="宋体"/>
                <w:sz w:val="22"/>
                <w:szCs w:val="22"/>
                <w:lang w:val="zh-CN" w:eastAsia="zh-CN" w:bidi="en-US"/>
              </w:rPr>
            </w:pPr>
            <w:r>
              <w:rPr>
                <w:rFonts w:hint="eastAsia" w:ascii="宋体" w:hAnsi="宋体" w:cs="宋体"/>
                <w:lang w:val="en-US" w:eastAsia="zh-CN"/>
              </w:rPr>
              <w:t>行业经验</w:t>
            </w:r>
          </w:p>
        </w:tc>
        <w:tc>
          <w:tcPr>
            <w:tcW w:w="1312" w:type="dxa"/>
            <w:tcBorders>
              <w:bottom w:val="single" w:color="auto" w:sz="4" w:space="0"/>
            </w:tcBorders>
            <w:vAlign w:val="center"/>
          </w:tcPr>
          <w:p>
            <w:pPr>
              <w:adjustRightInd w:val="0"/>
              <w:snapToGrid w:val="0"/>
              <w:spacing w:line="360" w:lineRule="exact"/>
              <w:jc w:val="center"/>
              <w:textAlignment w:val="baseline"/>
              <w:rPr>
                <w:rFonts w:hint="eastAsia" w:ascii="宋体" w:hAnsi="宋体" w:eastAsia="宋体" w:cs="宋体"/>
                <w:sz w:val="22"/>
                <w:szCs w:val="22"/>
                <w:lang w:val="en-US" w:eastAsia="en-US" w:bidi="en-US"/>
              </w:rPr>
            </w:pPr>
            <w:r>
              <w:rPr>
                <w:rFonts w:ascii="宋体" w:hAnsi="宋体" w:cs="宋体"/>
              </w:rPr>
              <w:t>2</w:t>
            </w:r>
          </w:p>
        </w:tc>
        <w:tc>
          <w:tcPr>
            <w:tcW w:w="6527" w:type="dxa"/>
            <w:tcBorders>
              <w:bottom w:val="single" w:color="auto" w:sz="4" w:space="0"/>
            </w:tcBorders>
            <w:vAlign w:val="center"/>
          </w:tcPr>
          <w:p>
            <w:pPr>
              <w:adjustRightInd w:val="0"/>
              <w:snapToGrid w:val="0"/>
              <w:spacing w:line="360" w:lineRule="exact"/>
              <w:textAlignment w:val="baseline"/>
              <w:rPr>
                <w:rFonts w:hint="default" w:ascii="宋体" w:hAnsi="宋体" w:eastAsia="宋体" w:cs="宋体"/>
                <w:sz w:val="22"/>
                <w:szCs w:val="22"/>
                <w:lang w:val="en-US" w:eastAsia="zh-CN" w:bidi="en-US"/>
              </w:rPr>
            </w:pPr>
            <w:r>
              <w:rPr>
                <w:rFonts w:hint="eastAsia" w:ascii="宋体" w:hAnsi="宋体" w:cs="宋体"/>
                <w:szCs w:val="21"/>
                <w:lang w:val="en-US" w:eastAsia="zh-CN"/>
              </w:rPr>
              <w:t>根据</w:t>
            </w:r>
            <w:r>
              <w:rPr>
                <w:rFonts w:hint="eastAsia" w:ascii="宋体" w:hAnsi="宋体" w:cs="宋体"/>
                <w:szCs w:val="21"/>
              </w:rPr>
              <w:t>投标人</w:t>
            </w:r>
            <w:r>
              <w:rPr>
                <w:rFonts w:hint="eastAsia" w:ascii="宋体" w:hAnsi="宋体" w:cs="宋体"/>
                <w:szCs w:val="21"/>
                <w:lang w:val="en-US" w:eastAsia="zh-CN"/>
              </w:rPr>
              <w:t>提供的业绩证明中，执行服务过跨境电商行业同类型展会的得2分，未提供不得分。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bottom w:val="single" w:color="auto" w:sz="4" w:space="0"/>
            </w:tcBorders>
            <w:vAlign w:val="center"/>
          </w:tcPr>
          <w:p>
            <w:pPr>
              <w:spacing w:line="360" w:lineRule="auto"/>
              <w:rPr>
                <w:rFonts w:hint="eastAsia" w:ascii="宋体" w:hAnsi="宋体" w:eastAsia="宋体" w:cs="宋体"/>
                <w:kern w:val="0"/>
                <w:sz w:val="22"/>
                <w:szCs w:val="21"/>
                <w:lang w:val="zh-CN" w:eastAsia="zh-CN" w:bidi="en-US"/>
              </w:rPr>
            </w:pPr>
          </w:p>
        </w:tc>
        <w:tc>
          <w:tcPr>
            <w:tcW w:w="1656" w:type="dxa"/>
            <w:tcBorders>
              <w:bottom w:val="single" w:color="auto" w:sz="4" w:space="0"/>
            </w:tcBorders>
            <w:vAlign w:val="center"/>
          </w:tcPr>
          <w:p>
            <w:pPr>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合计</w:t>
            </w:r>
          </w:p>
        </w:tc>
        <w:tc>
          <w:tcPr>
            <w:tcW w:w="1312" w:type="dxa"/>
            <w:tcBorders>
              <w:bottom w:val="single" w:color="auto" w:sz="4" w:space="0"/>
            </w:tcBorders>
            <w:vAlign w:val="center"/>
          </w:tcPr>
          <w:p>
            <w:pPr>
              <w:adjustRightInd w:val="0"/>
              <w:snapToGrid w:val="0"/>
              <w:spacing w:before="120" w:after="120"/>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lang w:val="en-US" w:eastAsia="zh-CN"/>
                <w14:textFill>
                  <w14:solidFill>
                    <w14:schemeClr w14:val="tx1"/>
                  </w14:solidFill>
                </w14:textFill>
              </w:rPr>
              <w:t>5</w:t>
            </w:r>
          </w:p>
        </w:tc>
        <w:tc>
          <w:tcPr>
            <w:tcW w:w="6527" w:type="dxa"/>
            <w:tcBorders>
              <w:bottom w:val="single" w:color="auto" w:sz="4" w:space="0"/>
            </w:tcBorders>
          </w:tcPr>
          <w:p>
            <w:pPr>
              <w:adjustRightInd w:val="0"/>
              <w:snapToGrid w:val="0"/>
              <w:rPr>
                <w:rFonts w:asciiTheme="minorEastAsia" w:hAnsiTheme="minorEastAsia" w:eastAsiaTheme="minorEastAsia"/>
                <w:color w:val="000000" w:themeColor="text1"/>
                <w14:textFill>
                  <w14:solidFill>
                    <w14:schemeClr w14:val="tx1"/>
                  </w14:solidFill>
                </w14:textFill>
              </w:rPr>
            </w:pPr>
          </w:p>
        </w:tc>
      </w:tr>
    </w:tbl>
    <w:p>
      <w:pPr>
        <w:adjustRightInd w:val="0"/>
        <w:snapToGrid w:val="0"/>
        <w:spacing w:before="120" w:after="120"/>
        <w:rPr>
          <w:rFonts w:asciiTheme="minorEastAsia" w:hAnsiTheme="minorEastAsia" w:eastAsiaTheme="minorEastAsia"/>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2"/>
      </w:pPr>
    </w:p>
    <w:p>
      <w:pPr>
        <w:snapToGrid w:val="0"/>
        <w:spacing w:line="360" w:lineRule="auto"/>
        <w:rPr>
          <w:rFonts w:asciiTheme="minorEastAsia" w:hAnsiTheme="minorEastAsia" w:eastAsiaTheme="minorEastAsia"/>
          <w:bCs/>
          <w:lang w:eastAsia="zh-CN"/>
        </w:rPr>
      </w:pPr>
      <w:r>
        <w:rPr>
          <w:rFonts w:hint="eastAsia" w:asciiTheme="minorEastAsia" w:hAnsiTheme="minorEastAsia" w:eastAsiaTheme="minorEastAsia"/>
          <w:lang w:eastAsia="zh-CN"/>
        </w:rPr>
        <w:t>注：</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bCs/>
          <w:lang w:eastAsia="zh-CN"/>
        </w:rPr>
        <w:t>1．上述</w:t>
      </w:r>
      <w:r>
        <w:rPr>
          <w:rFonts w:hint="eastAsia" w:asciiTheme="minorEastAsia" w:hAnsiTheme="minorEastAsia" w:eastAsiaTheme="minorEastAsia"/>
          <w:bCs/>
          <w:lang w:val="en-US" w:eastAsia="zh-CN"/>
        </w:rPr>
        <w:t>三</w:t>
      </w:r>
      <w:r>
        <w:rPr>
          <w:rFonts w:hint="eastAsia" w:asciiTheme="minorEastAsia" w:hAnsiTheme="minorEastAsia" w:eastAsiaTheme="minorEastAsia"/>
          <w:bCs/>
          <w:lang w:eastAsia="zh-CN"/>
        </w:rPr>
        <w:t>部分相加为最后得分，评标委员会将按照最高得分确定中标候选人，得分相同时，以投标报价最接近标底价的投标人排名在前。</w:t>
      </w:r>
    </w:p>
    <w:p>
      <w:pPr>
        <w:adjustRightInd w:val="0"/>
        <w:spacing w:line="360" w:lineRule="auto"/>
        <w:ind w:firstLine="565" w:firstLineChars="257"/>
        <w:rPr>
          <w:rFonts w:asciiTheme="minorEastAsia" w:hAnsiTheme="minorEastAsia" w:eastAsiaTheme="minorEastAsia"/>
          <w:lang w:eastAsia="zh-CN"/>
        </w:rPr>
      </w:pP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．如果发现投标人在证明文件中有弄虚作假情况，则该文件作废标处理。</w:t>
      </w:r>
    </w:p>
    <w:p>
      <w:pPr>
        <w:snapToGrid w:val="0"/>
        <w:spacing w:line="360" w:lineRule="auto"/>
        <w:ind w:firstLine="565" w:firstLineChars="257"/>
        <w:rPr>
          <w:rFonts w:asciiTheme="minorEastAsia" w:hAnsiTheme="minorEastAsia" w:eastAsiaTheme="minorEastAsia"/>
          <w:bCs/>
          <w:lang w:eastAsia="zh-CN"/>
        </w:rPr>
      </w:pPr>
      <w:r>
        <w:rPr>
          <w:rFonts w:hint="eastAsia" w:asciiTheme="minorEastAsia" w:hAnsiTheme="minorEastAsia" w:eastAsiaTheme="minorEastAsia"/>
          <w:bCs/>
          <w:lang w:val="en-US" w:eastAsia="zh-CN"/>
        </w:rPr>
        <w:t>3</w:t>
      </w:r>
      <w:r>
        <w:rPr>
          <w:rFonts w:hint="eastAsia" w:asciiTheme="minorEastAsia" w:hAnsiTheme="minorEastAsia" w:eastAsiaTheme="minorEastAsia"/>
          <w:bCs/>
          <w:lang w:eastAsia="zh-CN"/>
        </w:rPr>
        <w:t>．所有的业绩和人员的（合同、验收证明）复印件装订投标文件中，原（证）件（如需要待招标方通知后在规定的时间内提交复查）。</w:t>
      </w:r>
    </w:p>
    <w:p>
      <w:pPr>
        <w:snapToGrid w:val="0"/>
        <w:spacing w:line="360" w:lineRule="auto"/>
        <w:ind w:firstLine="565" w:firstLineChars="257"/>
        <w:rPr>
          <w:rFonts w:hint="eastAsia" w:cs="宋体" w:asciiTheme="minorEastAsia" w:hAnsiTheme="minorEastAsia" w:eastAsiaTheme="minorEastAsia"/>
          <w:highlight w:val="yellow"/>
          <w:lang w:eastAsia="zh-CN"/>
        </w:rPr>
      </w:pPr>
      <w:r>
        <w:rPr>
          <w:rFonts w:hint="eastAsia" w:asciiTheme="minorEastAsia" w:hAnsiTheme="minorEastAsia" w:eastAsiaTheme="minorEastAsia"/>
          <w:bCs/>
          <w:lang w:val="en-US" w:eastAsia="zh-CN"/>
        </w:rPr>
        <w:t>4</w:t>
      </w:r>
      <w:r>
        <w:rPr>
          <w:rFonts w:hint="eastAsia" w:asciiTheme="minorEastAsia" w:hAnsiTheme="minorEastAsia" w:eastAsiaTheme="minorEastAsia"/>
          <w:bCs/>
          <w:lang w:eastAsia="zh-CN"/>
        </w:rPr>
        <w:t>.以上评分标准过程控制内容将列入合同条款，如非因我方原因未按投标方案执行，将承担相应的处罚后果。</w:t>
      </w:r>
    </w:p>
    <w:sectPr>
      <w:footerReference r:id="rId16" w:type="default"/>
      <w:pgSz w:w="11906" w:h="16838"/>
      <w:pgMar w:top="1089" w:right="1599" w:bottom="568" w:left="1599"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utura Hv">
    <w:altName w:val="Arial"/>
    <w:panose1 w:val="00000000000000000000"/>
    <w:charset w:val="00"/>
    <w:family w:val="auto"/>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1FB"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Bold">
    <w:altName w:val="Arial"/>
    <w:panose1 w:val="00000000000000000000"/>
    <w:charset w:val="00"/>
    <w:family w:val="auto"/>
    <w:pitch w:val="default"/>
    <w:sig w:usb0="00000000" w:usb1="00000000" w:usb2="00000000" w:usb3="00000000" w:csb0="00000001" w:csb1="00000000"/>
  </w:font>
  <w:font w:name="ATC-6c494eea4e2d7b497ebf7b80*+H">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TC-6c494eea59279ed17b80*+Arial">
    <w:altName w:val="宋体"/>
    <w:panose1 w:val="00000000000000000000"/>
    <w:charset w:val="86"/>
    <w:family w:val="auto"/>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31"/>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31" o:spid="_x0000_s1026" o:spt="1"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CQZrA4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29"/>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9" o:spid="_x0000_s1026" o:spt="1"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CNWxUK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4" name="文本框26"/>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6" o:spid="_x0000_s1026" o:spt="1"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v9LC0AAAAAMBAAAPAAAAAAAAAAEAIAAAACIAAABkcnMv&#10;ZG93bnJldi54bWxQSwECFAAUAAAACACHTuJAGeYFSdIBAACXAwAADgAAAAAAAAABACAAAAAfAQAA&#10;ZHJzL2Uyb0RvYy54bWxQSwUGAAAAAAYABgBZAQAAYwU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3" name="文本框24"/>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4" o:spid="_x0000_s1026" o:spt="1"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hJWT3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21"/>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21" o:spid="_x0000_s1026" o:spt="1"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CjpsV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19"/>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9" o:spid="_x0000_s1026" o:spt="1"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A4cn/t0QEAAJc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15"/>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5" o:spid="_x0000_s1026" o:spt="1"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MyF9eHQAQAAlgMAAA4AAAAAAAAAAQAgAAAAHwEAAGRy&#10;cy9lMm9Eb2MueG1sUEsFBgAAAAAGAAYAWQEAAGEFAAAAAA==&#10;">
              <v:fill on="f" focussize="0,0"/>
              <v:stroke on="f"/>
              <v:imagedata o:title=""/>
              <o:lock v:ext="edit" aspectratio="f"/>
              <v:textbox inset="0mm,0mm,0mm,0mm" style="mso-fit-shape-to-text:t;">
                <w:txbxContent>
                  <w:p>
                    <w:pPr>
                      <w:pStyle w:val="25"/>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14"/>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14"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0sLQAAAAAwEAAA8AAAAAAAAAAQAgAAAAIgAAAGRycy9k&#10;b3ducmV2LnhtbFBLAQIUABQAAAAIAIdO4kDerrik0QEAAJYDAAAOAAAAAAAAAAEAIAAAAB8BAABk&#10;cnMvZTJvRG9jLnhtbFBLBQYAAAAABgAGAFkBAABiBQAAAAA=&#10;">
              <v:fill on="f" focussize="0,0"/>
              <v:stroke on="f"/>
              <v:imagedata o:title=""/>
              <o:lock v:ext="edit" aspectratio="f"/>
              <v:textbox inset="0mm,0mm,0mm,0mm" style="mso-fit-shape-to-text:t;">
                <w:txbxContent>
                  <w:p>
                    <w:pPr>
                      <w:pStyle w:val="25"/>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353"/>
        <w:tab w:val="clear" w:pos="4153"/>
      </w:tabs>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33985" cy="153035"/>
              <wp:effectExtent l="0" t="0" r="0" b="0"/>
              <wp:wrapNone/>
              <wp:docPr id="17" name="文本框33"/>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lang w:eastAsia="zh-CN"/>
                            </w:rPr>
                            <w:t>24</w:t>
                          </w:r>
                          <w:r>
                            <w:rPr>
                              <w:rFonts w:hint="eastAsia"/>
                              <w:sz w:val="18"/>
                            </w:rPr>
                            <w:fldChar w:fldCharType="end"/>
                          </w:r>
                        </w:p>
                      </w:txbxContent>
                    </wps:txbx>
                    <wps:bodyPr wrap="none" lIns="0" tIns="0" rIns="0" bIns="0" upright="1">
                      <a:spAutoFit/>
                    </wps:bodyPr>
                  </wps:wsp>
                </a:graphicData>
              </a:graphic>
            </wp:anchor>
          </w:drawing>
        </mc:Choice>
        <mc:Fallback>
          <w:pict>
            <v:rect id="文本框33" o:spid="_x0000_s1026" o:spt="1" style="position:absolute;left:0pt;margin-top:0pt;height:12.05pt;width:10.55pt;mso-position-horizontal:center;mso-position-horizontal-relative:margin;mso-wrap-style:none;z-index:25166950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yHxuNEAAAADAQAADwAAAAAAAAABACAAAAAiAAAAZHJz&#10;L2Rvd25yZXYueG1sUEsBAhQAFAAAAAgAh07iQO7dXi/SAQAAlwMAAA4AAAAAAAAAAQAgAAAAIA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lang w:eastAsia="zh-CN"/>
                      </w:rPr>
                      <w:t>24</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132"/>
      </w:rPr>
    </w:pPr>
    <w:r>
      <w:fldChar w:fldCharType="begin"/>
    </w:r>
    <w:r>
      <w:rPr>
        <w:rStyle w:val="132"/>
      </w:rPr>
      <w:instrText xml:space="preserve">PAGE  </w:instrText>
    </w:r>
    <w:r>
      <w:fldChar w:fldCharType="separate"/>
    </w:r>
    <w:r>
      <w:rPr>
        <w:rStyle w:val="132"/>
      </w:rPr>
      <w:t>2</w:t>
    </w:r>
    <w:r>
      <w:fldChar w:fldCharType="end"/>
    </w:r>
  </w:p>
  <w:p>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t>2</w:t>
    </w:r>
    <w:r>
      <w:fldChar w:fldCharType="end"/>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17"/>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lang w:eastAsia="zh-CN"/>
                            </w:rPr>
                            <w:t>39</w:t>
                          </w:r>
                          <w:r>
                            <w:rPr>
                              <w:rFonts w:hint="eastAsia"/>
                              <w:sz w:val="18"/>
                            </w:rPr>
                            <w:fldChar w:fldCharType="end"/>
                          </w:r>
                        </w:p>
                      </w:txbxContent>
                    </wps:txbx>
                    <wps:bodyPr wrap="none" lIns="0" tIns="0" rIns="0" bIns="0" upright="1">
                      <a:spAutoFit/>
                    </wps:bodyPr>
                  </wps:wsp>
                </a:graphicData>
              </a:graphic>
            </wp:anchor>
          </w:drawing>
        </mc:Choice>
        <mc:Fallback>
          <w:pict>
            <v:rect id="文本框17" o:spid="_x0000_s1026" o:spt="1"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ch8bjRAAAAAwEAAA8AAAAAAAAAAQAgAAAAIgAAAGRycy9k&#10;b3ducmV2LnhtbFBLAQIUABQAAAAIAIdO4kCyPhv20AEAAJYDAAAOAAAAAAAAAAEAIAAAACA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lang w:eastAsia="zh-CN"/>
                      </w:rPr>
                      <w:t>39</w:t>
                    </w:r>
                    <w:r>
                      <w:rPr>
                        <w:rFonts w:hint="eastAsia"/>
                        <w:sz w:val="18"/>
                      </w:rPr>
                      <w:fldChar w:fldCharType="end"/>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8"/>
              <wp:cNvGraphicFramePr/>
              <a:graphic xmlns:a="http://schemas.openxmlformats.org/drawingml/2006/main">
                <a:graphicData uri="http://schemas.microsoft.com/office/word/2010/wordprocessingShape">
                  <wps:wsp>
                    <wps:cNvSpPr/>
                    <wps:spPr>
                      <a:xfrm>
                        <a:off x="0" y="0"/>
                        <a:ext cx="114935" cy="131445"/>
                      </a:xfrm>
                      <a:prstGeom prst="rect">
                        <a:avLst/>
                      </a:prstGeom>
                      <a:noFill/>
                      <a:ln w="9525">
                        <a:noFill/>
                      </a:ln>
                    </wps:spPr>
                    <wps:txbx>
                      <w:txbxContent>
                        <w:p>
                          <w:pPr>
                            <w:pStyle w:val="25"/>
                            <w:jc w:val="center"/>
                          </w:pPr>
                        </w:p>
                      </w:txbxContent>
                    </wps:txbx>
                    <wps:bodyPr wrap="none" lIns="0" tIns="0" rIns="0" bIns="0" upright="1">
                      <a:spAutoFit/>
                    </wps:bodyPr>
                  </wps:wsp>
                </a:graphicData>
              </a:graphic>
            </wp:anchor>
          </w:drawing>
        </mc:Choice>
        <mc:Fallback>
          <w:pict>
            <v:rect id="文本框8"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Gtthe7QAQAAlQMAAA4AAAAAAAAAAQAgAAAAHwEAAGRy&#10;cy9lMm9Eb2MueG1sUEsFBgAAAAAGAAYAWQEAAGEFAAAAAA==&#10;">
              <v:fill on="f" focussize="0,0"/>
              <v:stroke on="f"/>
              <v:imagedata o:title=""/>
              <o:lock v:ext="edit" aspectratio="f"/>
              <v:textbox inset="0mm,0mm,0mm,0mm" style="mso-fit-shape-to-text:t;">
                <w:txbxContent>
                  <w:p>
                    <w:pPr>
                      <w:pStyle w:val="25"/>
                      <w:jc w:val="center"/>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37</w:t>
                    </w:r>
                    <w:r>
                      <w:fldChar w:fldCharType="end"/>
                    </w:r>
                  </w:p>
                </w:txbxContent>
              </v:textbox>
            </v:shape>
          </w:pict>
        </mc:Fallback>
      </mc:AlternateContent>
    </w:r>
  </w:p>
  <w:p>
    <w:pPr>
      <w:pStyle w:val="25"/>
      <w:tabs>
        <w:tab w:val="center" w:pos="4535"/>
        <w:tab w:val="right" w:pos="9070"/>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distribute"/>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586B0"/>
    <w:multiLevelType w:val="singleLevel"/>
    <w:tmpl w:val="8A9586B0"/>
    <w:lvl w:ilvl="0" w:tentative="0">
      <w:start w:val="1"/>
      <w:numFmt w:val="decimal"/>
      <w:suff w:val="space"/>
      <w:lvlText w:val="%1."/>
      <w:lvlJc w:val="left"/>
    </w:lvl>
  </w:abstractNum>
  <w:abstractNum w:abstractNumId="1">
    <w:nsid w:val="AC965FFF"/>
    <w:multiLevelType w:val="singleLevel"/>
    <w:tmpl w:val="AC965FFF"/>
    <w:lvl w:ilvl="0" w:tentative="0">
      <w:start w:val="1"/>
      <w:numFmt w:val="decimal"/>
      <w:suff w:val="space"/>
      <w:lvlText w:val="%1."/>
      <w:lvlJc w:val="left"/>
    </w:lvl>
  </w:abstractNum>
  <w:abstractNum w:abstractNumId="2">
    <w:nsid w:val="AF72F106"/>
    <w:multiLevelType w:val="singleLevel"/>
    <w:tmpl w:val="AF72F106"/>
    <w:lvl w:ilvl="0" w:tentative="0">
      <w:start w:val="1"/>
      <w:numFmt w:val="decimal"/>
      <w:lvlText w:val="%1）"/>
      <w:lvlJc w:val="left"/>
    </w:lvl>
  </w:abstractNum>
  <w:abstractNum w:abstractNumId="3">
    <w:nsid w:val="BFB59DF5"/>
    <w:multiLevelType w:val="singleLevel"/>
    <w:tmpl w:val="BFB59DF5"/>
    <w:lvl w:ilvl="0" w:tentative="0">
      <w:start w:val="1"/>
      <w:numFmt w:val="decimal"/>
      <w:suff w:val="space"/>
      <w:lvlText w:val="%1."/>
      <w:lvlJc w:val="left"/>
    </w:lvl>
  </w:abstractNum>
  <w:abstractNum w:abstractNumId="4">
    <w:nsid w:val="DEDF63B0"/>
    <w:multiLevelType w:val="singleLevel"/>
    <w:tmpl w:val="DEDF63B0"/>
    <w:lvl w:ilvl="0" w:tentative="0">
      <w:start w:val="1"/>
      <w:numFmt w:val="decimal"/>
      <w:suff w:val="space"/>
      <w:lvlText w:val="%1."/>
      <w:lvlJc w:val="left"/>
    </w:lvl>
  </w:abstractNum>
  <w:abstractNum w:abstractNumId="5">
    <w:nsid w:val="E202EED5"/>
    <w:multiLevelType w:val="singleLevel"/>
    <w:tmpl w:val="E202EED5"/>
    <w:lvl w:ilvl="0" w:tentative="0">
      <w:start w:val="1"/>
      <w:numFmt w:val="decimal"/>
      <w:lvlText w:val="%1."/>
      <w:lvlJc w:val="left"/>
      <w:pPr>
        <w:tabs>
          <w:tab w:val="left" w:pos="312"/>
        </w:tabs>
      </w:pPr>
    </w:lvl>
  </w:abstractNum>
  <w:abstractNum w:abstractNumId="6">
    <w:nsid w:val="EE52C96A"/>
    <w:multiLevelType w:val="singleLevel"/>
    <w:tmpl w:val="EE52C96A"/>
    <w:lvl w:ilvl="0" w:tentative="0">
      <w:start w:val="10"/>
      <w:numFmt w:val="chineseCounting"/>
      <w:suff w:val="nothing"/>
      <w:lvlText w:val="（%1）"/>
      <w:lvlJc w:val="left"/>
      <w:rPr>
        <w:rFonts w:hint="eastAsia"/>
      </w:rPr>
    </w:lvl>
  </w:abstractNum>
  <w:abstractNum w:abstractNumId="7">
    <w:nsid w:val="0000000B"/>
    <w:multiLevelType w:val="multilevel"/>
    <w:tmpl w:val="0000000B"/>
    <w:lvl w:ilvl="0" w:tentative="0">
      <w:start w:val="1"/>
      <w:numFmt w:val="bullet"/>
      <w:pStyle w:val="4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C"/>
    <w:multiLevelType w:val="multilevel"/>
    <w:tmpl w:val="0000000C"/>
    <w:lvl w:ilvl="0" w:tentative="0">
      <w:start w:val="9"/>
      <w:numFmt w:val="decimal"/>
      <w:pStyle w:val="229"/>
      <w:lvlText w:val="%1."/>
      <w:lvlJc w:val="left"/>
      <w:pPr>
        <w:tabs>
          <w:tab w:val="left" w:pos="360"/>
        </w:tabs>
        <w:ind w:left="360" w:hanging="360"/>
      </w:pPr>
      <w:rPr>
        <w:rFonts w:cs="Times New Roman"/>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9">
    <w:nsid w:val="0000000D"/>
    <w:multiLevelType w:val="multilevel"/>
    <w:tmpl w:val="0000000D"/>
    <w:lvl w:ilvl="0" w:tentative="0">
      <w:start w:val="1"/>
      <w:numFmt w:val="decimal"/>
      <w:pStyle w:val="176"/>
      <w:lvlText w:val="（%1）"/>
      <w:lvlJc w:val="left"/>
      <w:pPr>
        <w:ind w:left="1400" w:hanging="720"/>
      </w:pPr>
      <w:rPr>
        <w:rFonts w:hint="default"/>
      </w:r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10">
    <w:nsid w:val="0000000F"/>
    <w:multiLevelType w:val="multilevel"/>
    <w:tmpl w:val="0000000F"/>
    <w:lvl w:ilvl="0" w:tentative="0">
      <w:start w:val="1"/>
      <w:numFmt w:val="decimal"/>
      <w:pStyle w:val="288"/>
      <w:lvlText w:val="%1."/>
      <w:lvlJc w:val="left"/>
      <w:pPr>
        <w:tabs>
          <w:tab w:val="left" w:pos="420"/>
        </w:tabs>
        <w:ind w:left="420" w:hanging="420"/>
      </w:pPr>
      <w:rPr>
        <w:rFonts w:hint="eastAsia"/>
      </w:rPr>
    </w:lvl>
    <w:lvl w:ilvl="1" w:tentative="0">
      <w:start w:val="1"/>
      <w:numFmt w:val="decimal"/>
      <w:lvlText w:val="1.%2"/>
      <w:lvlJc w:val="left"/>
      <w:pPr>
        <w:tabs>
          <w:tab w:val="left" w:pos="840"/>
        </w:tabs>
        <w:ind w:left="840" w:hanging="420"/>
      </w:pPr>
      <w:rPr>
        <w:rFonts w:hint="eastAsia"/>
        <w:color w:val="auto"/>
      </w:rPr>
    </w:lvl>
    <w:lvl w:ilvl="2" w:tentative="0">
      <w:start w:val="1"/>
      <w:numFmt w:val="decimal"/>
      <w:lvlText w:val="2.%3"/>
      <w:lvlJc w:val="left"/>
      <w:pPr>
        <w:tabs>
          <w:tab w:val="left" w:pos="1260"/>
        </w:tabs>
        <w:ind w:left="1260" w:hanging="420"/>
      </w:pPr>
      <w:rPr>
        <w:rFonts w:hint="eastAsia"/>
        <w:color w:val="auto"/>
        <w:sz w:val="24"/>
        <w:szCs w:val="24"/>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pStyle w:val="65"/>
      <w:lvlText w:val="%1"/>
      <w:lvlJc w:val="left"/>
      <w:pPr>
        <w:tabs>
          <w:tab w:val="left" w:pos="390"/>
        </w:tabs>
        <w:ind w:left="390" w:hanging="390"/>
      </w:pPr>
      <w:rPr>
        <w:rFonts w:cs="Times New Roman"/>
      </w:rPr>
    </w:lvl>
    <w:lvl w:ilvl="1" w:tentative="0">
      <w:start w:val="1"/>
      <w:numFmt w:val="decimal"/>
      <w:lvlText w:val="%1.%2"/>
      <w:lvlJc w:val="left"/>
      <w:pPr>
        <w:tabs>
          <w:tab w:val="left" w:pos="390"/>
        </w:tabs>
        <w:ind w:left="390" w:hanging="390"/>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720"/>
        </w:tabs>
        <w:ind w:left="720" w:hanging="72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080"/>
        </w:tabs>
        <w:ind w:left="1080" w:hanging="1080"/>
      </w:pPr>
      <w:rPr>
        <w:rFonts w:cs="Times New Roman"/>
      </w:rPr>
    </w:lvl>
    <w:lvl w:ilvl="6" w:tentative="0">
      <w:start w:val="1"/>
      <w:numFmt w:val="decimal"/>
      <w:lvlText w:val="%1.%2.%3.%4.%5.%6.%7"/>
      <w:lvlJc w:val="left"/>
      <w:pPr>
        <w:tabs>
          <w:tab w:val="left" w:pos="1080"/>
        </w:tabs>
        <w:ind w:left="1080" w:hanging="1080"/>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440"/>
        </w:tabs>
        <w:ind w:left="1440" w:hanging="1440"/>
      </w:pPr>
      <w:rPr>
        <w:rFonts w:cs="Times New Roman"/>
      </w:rPr>
    </w:lvl>
  </w:abstractNum>
  <w:abstractNum w:abstractNumId="12">
    <w:nsid w:val="00000012"/>
    <w:multiLevelType w:val="singleLevel"/>
    <w:tmpl w:val="00000012"/>
    <w:lvl w:ilvl="0" w:tentative="0">
      <w:start w:val="1"/>
      <w:numFmt w:val="decimal"/>
      <w:pStyle w:val="379"/>
      <w:lvlText w:val="%1."/>
      <w:lvlJc w:val="left"/>
      <w:pPr>
        <w:tabs>
          <w:tab w:val="left" w:pos="1620"/>
        </w:tabs>
        <w:ind w:left="1620" w:hanging="360"/>
      </w:pPr>
    </w:lvl>
  </w:abstractNum>
  <w:abstractNum w:abstractNumId="13">
    <w:nsid w:val="00000013"/>
    <w:multiLevelType w:val="singleLevel"/>
    <w:tmpl w:val="00000013"/>
    <w:lvl w:ilvl="0" w:tentative="0">
      <w:start w:val="1"/>
      <w:numFmt w:val="decimal"/>
      <w:pStyle w:val="275"/>
      <w:lvlText w:val="%1."/>
      <w:lvlJc w:val="left"/>
      <w:pPr>
        <w:tabs>
          <w:tab w:val="left" w:pos="1200"/>
        </w:tabs>
        <w:ind w:left="1200" w:hanging="360"/>
      </w:pPr>
    </w:lvl>
  </w:abstractNum>
  <w:abstractNum w:abstractNumId="14">
    <w:nsid w:val="00000014"/>
    <w:multiLevelType w:val="multilevel"/>
    <w:tmpl w:val="00000014"/>
    <w:lvl w:ilvl="0" w:tentative="0">
      <w:start w:val="1"/>
      <w:numFmt w:val="bullet"/>
      <w:pStyle w:val="25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5">
    <w:nsid w:val="00000016"/>
    <w:multiLevelType w:val="multilevel"/>
    <w:tmpl w:val="00000016"/>
    <w:lvl w:ilvl="0" w:tentative="0">
      <w:start w:val="1"/>
      <w:numFmt w:val="decimal"/>
      <w:pStyle w:val="253"/>
      <w:lvlText w:val="表格%1."/>
      <w:lvlJc w:val="left"/>
      <w:pPr>
        <w:tabs>
          <w:tab w:val="left" w:pos="108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7"/>
    <w:multiLevelType w:val="multilevel"/>
    <w:tmpl w:val="00000017"/>
    <w:lvl w:ilvl="0" w:tentative="0">
      <w:start w:val="1"/>
      <w:numFmt w:val="decimal"/>
      <w:pStyle w:val="114"/>
      <w:lvlText w:val="%1."/>
      <w:lvlJc w:val="left"/>
      <w:pPr>
        <w:tabs>
          <w:tab w:val="left" w:pos="360"/>
        </w:tabs>
        <w:ind w:left="360" w:hanging="360"/>
      </w:pPr>
    </w:lvl>
    <w:lvl w:ilvl="1" w:tentative="0">
      <w:start w:val="1"/>
      <w:numFmt w:val="decimal"/>
      <w:lvlText w:val="%2)"/>
      <w:lvlJc w:val="left"/>
      <w:pPr>
        <w:tabs>
          <w:tab w:val="left" w:pos="840"/>
        </w:tabs>
        <w:ind w:left="840" w:hanging="420"/>
      </w:pPr>
    </w:lvl>
    <w:lvl w:ilvl="2" w:tentative="0">
      <w:start w:val="1"/>
      <w:numFmt w:val="decimal"/>
      <w:lvlText w:val="3.%3"/>
      <w:lvlJc w:val="left"/>
      <w:pPr>
        <w:tabs>
          <w:tab w:val="left" w:pos="0"/>
        </w:tabs>
        <w:ind w:left="454" w:hanging="454"/>
      </w:pPr>
    </w:lvl>
    <w:lvl w:ilvl="3" w:tentative="0">
      <w:start w:val="1"/>
      <w:numFmt w:val="decimal"/>
      <w:lvlText w:val="%4)"/>
      <w:lvlJc w:val="left"/>
      <w:pPr>
        <w:tabs>
          <w:tab w:val="left" w:pos="1785"/>
        </w:tabs>
        <w:ind w:left="1785"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8"/>
    <w:multiLevelType w:val="multilevel"/>
    <w:tmpl w:val="00000018"/>
    <w:lvl w:ilvl="0" w:tentative="0">
      <w:start w:val="1"/>
      <w:numFmt w:val="bullet"/>
      <w:pStyle w:val="38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8">
    <w:nsid w:val="00000019"/>
    <w:multiLevelType w:val="multilevel"/>
    <w:tmpl w:val="00000019"/>
    <w:lvl w:ilvl="0" w:tentative="0">
      <w:start w:val="1"/>
      <w:numFmt w:val="decimal"/>
      <w:pStyle w:val="334"/>
      <w:lvlText w:val="表格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0000001A"/>
    <w:multiLevelType w:val="multilevel"/>
    <w:tmpl w:val="0000001A"/>
    <w:lvl w:ilvl="0" w:tentative="0">
      <w:start w:val="1"/>
      <w:numFmt w:val="lowerLetter"/>
      <w:pStyle w:val="246"/>
      <w:lvlText w:val="(%1)"/>
      <w:lvlJc w:val="left"/>
      <w:pPr>
        <w:tabs>
          <w:tab w:val="left" w:pos="795"/>
        </w:tabs>
        <w:ind w:left="795" w:hanging="37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B"/>
    <w:multiLevelType w:val="multilevel"/>
    <w:tmpl w:val="0000001B"/>
    <w:lvl w:ilvl="0" w:tentative="0">
      <w:start w:val="1"/>
      <w:numFmt w:val="bullet"/>
      <w:pStyle w:val="265"/>
      <w:lvlText w:val=""/>
      <w:lvlJc w:val="left"/>
      <w:pPr>
        <w:tabs>
          <w:tab w:val="left" w:pos="1440"/>
        </w:tabs>
        <w:ind w:left="1440" w:hanging="360"/>
      </w:pPr>
      <w:rPr>
        <w:rFonts w:hint="default" w:ascii="Symbol" w:hAnsi="Symbol"/>
      </w:rPr>
    </w:lvl>
    <w:lvl w:ilvl="1" w:tentative="0">
      <w:start w:val="1"/>
      <w:numFmt w:val="decimal"/>
      <w:pStyle w:val="428"/>
      <w:lvlText w:val="%2."/>
      <w:lvlJc w:val="left"/>
      <w:pPr>
        <w:tabs>
          <w:tab w:val="left" w:pos="2160"/>
        </w:tabs>
        <w:ind w:left="2160" w:hanging="360"/>
      </w:pPr>
      <w:rPr>
        <w:rFonts w:hint="default"/>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1">
    <w:nsid w:val="0000001D"/>
    <w:multiLevelType w:val="multilevel"/>
    <w:tmpl w:val="0000001D"/>
    <w:lvl w:ilvl="0" w:tentative="0">
      <w:start w:val="1"/>
      <w:numFmt w:val="bullet"/>
      <w:pStyle w:val="316"/>
      <w:lvlText w:val=""/>
      <w:lvlJc w:val="left"/>
      <w:pPr>
        <w:ind w:left="540" w:hanging="420"/>
      </w:pPr>
      <w:rPr>
        <w:rFonts w:hint="default" w:ascii="Wingdings" w:hAnsi="Wingdings"/>
      </w:rPr>
    </w:lvl>
    <w:lvl w:ilvl="1" w:tentative="0">
      <w:start w:val="1"/>
      <w:numFmt w:val="bullet"/>
      <w:lvlText w:val=""/>
      <w:lvlJc w:val="left"/>
      <w:pPr>
        <w:ind w:left="960" w:hanging="420"/>
      </w:pPr>
      <w:rPr>
        <w:rFonts w:hint="default" w:ascii="Wingdings" w:hAnsi="Wingdings"/>
      </w:rPr>
    </w:lvl>
    <w:lvl w:ilvl="2" w:tentative="0">
      <w:start w:val="1"/>
      <w:numFmt w:val="bullet"/>
      <w:lvlText w:val=""/>
      <w:lvlJc w:val="left"/>
      <w:pPr>
        <w:ind w:left="1380" w:hanging="420"/>
      </w:pPr>
      <w:rPr>
        <w:rFonts w:hint="default" w:ascii="Wingdings" w:hAnsi="Wingdings"/>
      </w:rPr>
    </w:lvl>
    <w:lvl w:ilvl="3" w:tentative="0">
      <w:start w:val="1"/>
      <w:numFmt w:val="bullet"/>
      <w:lvlText w:val=""/>
      <w:lvlJc w:val="left"/>
      <w:pPr>
        <w:ind w:left="1800" w:hanging="420"/>
      </w:pPr>
      <w:rPr>
        <w:rFonts w:hint="default" w:ascii="Wingdings" w:hAnsi="Wingdings"/>
      </w:rPr>
    </w:lvl>
    <w:lvl w:ilvl="4" w:tentative="0">
      <w:start w:val="1"/>
      <w:numFmt w:val="bullet"/>
      <w:lvlText w:val=""/>
      <w:lvlJc w:val="left"/>
      <w:pPr>
        <w:ind w:left="2220" w:hanging="420"/>
      </w:pPr>
      <w:rPr>
        <w:rFonts w:hint="default" w:ascii="Wingdings" w:hAnsi="Wingdings"/>
      </w:rPr>
    </w:lvl>
    <w:lvl w:ilvl="5" w:tentative="0">
      <w:start w:val="1"/>
      <w:numFmt w:val="bullet"/>
      <w:lvlText w:val=""/>
      <w:lvlJc w:val="left"/>
      <w:pPr>
        <w:ind w:left="2640" w:hanging="420"/>
      </w:pPr>
      <w:rPr>
        <w:rFonts w:hint="default" w:ascii="Wingdings" w:hAnsi="Wingdings"/>
      </w:rPr>
    </w:lvl>
    <w:lvl w:ilvl="6" w:tentative="0">
      <w:start w:val="1"/>
      <w:numFmt w:val="bullet"/>
      <w:lvlText w:val=""/>
      <w:lvlJc w:val="left"/>
      <w:pPr>
        <w:ind w:left="3060" w:hanging="420"/>
      </w:pPr>
      <w:rPr>
        <w:rFonts w:hint="default" w:ascii="Wingdings" w:hAnsi="Wingdings"/>
      </w:rPr>
    </w:lvl>
    <w:lvl w:ilvl="7" w:tentative="0">
      <w:start w:val="1"/>
      <w:numFmt w:val="bullet"/>
      <w:lvlText w:val=""/>
      <w:lvlJc w:val="left"/>
      <w:pPr>
        <w:ind w:left="3480" w:hanging="420"/>
      </w:pPr>
      <w:rPr>
        <w:rFonts w:hint="default" w:ascii="Wingdings" w:hAnsi="Wingdings"/>
      </w:rPr>
    </w:lvl>
    <w:lvl w:ilvl="8" w:tentative="0">
      <w:start w:val="1"/>
      <w:numFmt w:val="bullet"/>
      <w:lvlText w:val=""/>
      <w:lvlJc w:val="left"/>
      <w:pPr>
        <w:ind w:left="3900" w:hanging="420"/>
      </w:pPr>
      <w:rPr>
        <w:rFonts w:hint="default" w:ascii="Wingdings" w:hAnsi="Wingdings"/>
      </w:rPr>
    </w:lvl>
  </w:abstractNum>
  <w:abstractNum w:abstractNumId="22">
    <w:nsid w:val="0000001E"/>
    <w:multiLevelType w:val="multilevel"/>
    <w:tmpl w:val="0000001E"/>
    <w:lvl w:ilvl="0" w:tentative="0">
      <w:start w:val="5"/>
      <w:numFmt w:val="decimal"/>
      <w:pStyle w:val="386"/>
      <w:lvlText w:val="%1）"/>
      <w:lvlJc w:val="left"/>
      <w:pPr>
        <w:ind w:left="1036" w:hanging="360"/>
      </w:pPr>
      <w:rPr>
        <w:rFonts w:hint="default"/>
      </w:rPr>
    </w:lvl>
    <w:lvl w:ilvl="1" w:tentative="0">
      <w:start w:val="1"/>
      <w:numFmt w:val="lowerLetter"/>
      <w:lvlText w:val="%2)"/>
      <w:lvlJc w:val="left"/>
      <w:pPr>
        <w:ind w:left="1516" w:hanging="420"/>
      </w:pPr>
    </w:lvl>
    <w:lvl w:ilvl="2" w:tentative="0">
      <w:start w:val="1"/>
      <w:numFmt w:val="lowerRoman"/>
      <w:lvlText w:val="%3."/>
      <w:lvlJc w:val="right"/>
      <w:pPr>
        <w:ind w:left="1936" w:hanging="420"/>
      </w:pPr>
    </w:lvl>
    <w:lvl w:ilvl="3" w:tentative="0">
      <w:start w:val="1"/>
      <w:numFmt w:val="decimal"/>
      <w:lvlText w:val="%4."/>
      <w:lvlJc w:val="left"/>
      <w:pPr>
        <w:ind w:left="2356" w:hanging="420"/>
      </w:pPr>
    </w:lvl>
    <w:lvl w:ilvl="4" w:tentative="0">
      <w:start w:val="1"/>
      <w:numFmt w:val="lowerLetter"/>
      <w:lvlText w:val="%5)"/>
      <w:lvlJc w:val="left"/>
      <w:pPr>
        <w:ind w:left="2776" w:hanging="420"/>
      </w:pPr>
    </w:lvl>
    <w:lvl w:ilvl="5" w:tentative="0">
      <w:start w:val="1"/>
      <w:numFmt w:val="lowerRoman"/>
      <w:lvlText w:val="%6."/>
      <w:lvlJc w:val="right"/>
      <w:pPr>
        <w:ind w:left="3196" w:hanging="420"/>
      </w:pPr>
    </w:lvl>
    <w:lvl w:ilvl="6" w:tentative="0">
      <w:start w:val="1"/>
      <w:numFmt w:val="decimal"/>
      <w:lvlText w:val="%7."/>
      <w:lvlJc w:val="left"/>
      <w:pPr>
        <w:ind w:left="3616" w:hanging="420"/>
      </w:pPr>
    </w:lvl>
    <w:lvl w:ilvl="7" w:tentative="0">
      <w:start w:val="1"/>
      <w:numFmt w:val="lowerLetter"/>
      <w:lvlText w:val="%8)"/>
      <w:lvlJc w:val="left"/>
      <w:pPr>
        <w:ind w:left="4036" w:hanging="420"/>
      </w:pPr>
    </w:lvl>
    <w:lvl w:ilvl="8" w:tentative="0">
      <w:start w:val="1"/>
      <w:numFmt w:val="lowerRoman"/>
      <w:lvlText w:val="%9."/>
      <w:lvlJc w:val="right"/>
      <w:pPr>
        <w:ind w:left="4456" w:hanging="420"/>
      </w:pPr>
    </w:lvl>
  </w:abstractNum>
  <w:abstractNum w:abstractNumId="23">
    <w:nsid w:val="0000001F"/>
    <w:multiLevelType w:val="singleLevel"/>
    <w:tmpl w:val="0000001F"/>
    <w:lvl w:ilvl="0" w:tentative="0">
      <w:start w:val="1"/>
      <w:numFmt w:val="decimal"/>
      <w:pStyle w:val="373"/>
      <w:lvlText w:val="%1."/>
      <w:lvlJc w:val="left"/>
      <w:pPr>
        <w:tabs>
          <w:tab w:val="left" w:pos="2040"/>
        </w:tabs>
        <w:ind w:left="2040" w:hanging="360"/>
      </w:pPr>
    </w:lvl>
  </w:abstractNum>
  <w:abstractNum w:abstractNumId="24">
    <w:nsid w:val="00000020"/>
    <w:multiLevelType w:val="multilevel"/>
    <w:tmpl w:val="00000020"/>
    <w:lvl w:ilvl="0" w:tentative="0">
      <w:start w:val="1"/>
      <w:numFmt w:val="decimal"/>
      <w:lvlText w:val="%1"/>
      <w:lvlJc w:val="left"/>
      <w:pPr>
        <w:tabs>
          <w:tab w:val="left" w:pos="432"/>
        </w:tabs>
        <w:ind w:left="432" w:hanging="432"/>
      </w:pPr>
      <w:rPr>
        <w:rFonts w:hint="eastAsia"/>
      </w:rPr>
    </w:lvl>
    <w:lvl w:ilvl="1" w:tentative="0">
      <w:start w:val="1"/>
      <w:numFmt w:val="decimal"/>
      <w:pStyle w:val="186"/>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5">
    <w:nsid w:val="00000022"/>
    <w:multiLevelType w:val="multilevel"/>
    <w:tmpl w:val="00000022"/>
    <w:lvl w:ilvl="0" w:tentative="0">
      <w:start w:val="1"/>
      <w:numFmt w:val="decimal"/>
      <w:lvlText w:val="%1)"/>
      <w:lvlJc w:val="left"/>
      <w:pPr>
        <w:tabs>
          <w:tab w:val="left" w:pos="900"/>
        </w:tabs>
        <w:ind w:left="900" w:hanging="420"/>
      </w:pPr>
    </w:lvl>
    <w:lvl w:ilvl="1" w:tentative="0">
      <w:start w:val="1"/>
      <w:numFmt w:val="bullet"/>
      <w:pStyle w:val="217"/>
      <w:lvlText w:val=""/>
      <w:lvlJc w:val="left"/>
      <w:pPr>
        <w:tabs>
          <w:tab w:val="left" w:pos="900"/>
        </w:tabs>
        <w:ind w:left="900" w:hanging="420"/>
      </w:pPr>
      <w:rPr>
        <w:rFonts w:hint="default" w:ascii="Wingdings" w:hAnsi="Wingdings"/>
      </w:r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26">
    <w:nsid w:val="00000023"/>
    <w:multiLevelType w:val="multilevel"/>
    <w:tmpl w:val="00000023"/>
    <w:lvl w:ilvl="0" w:tentative="0">
      <w:start w:val="1"/>
      <w:numFmt w:val="decimal"/>
      <w:pStyle w:val="339"/>
      <w:lvlText w:val="%1."/>
      <w:lvlJc w:val="left"/>
      <w:pPr>
        <w:tabs>
          <w:tab w:val="left" w:pos="840"/>
        </w:tabs>
        <w:ind w:left="840" w:hanging="420"/>
      </w:p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00000025"/>
    <w:multiLevelType w:val="singleLevel"/>
    <w:tmpl w:val="00000025"/>
    <w:lvl w:ilvl="0" w:tentative="0">
      <w:start w:val="1"/>
      <w:numFmt w:val="decimal"/>
      <w:pStyle w:val="378"/>
      <w:lvlText w:val="%1."/>
      <w:lvlJc w:val="left"/>
      <w:pPr>
        <w:tabs>
          <w:tab w:val="left" w:pos="780"/>
        </w:tabs>
        <w:ind w:left="780" w:hanging="360"/>
      </w:pPr>
    </w:lvl>
  </w:abstractNum>
  <w:abstractNum w:abstractNumId="28">
    <w:nsid w:val="00000027"/>
    <w:multiLevelType w:val="multilevel"/>
    <w:tmpl w:val="00000027"/>
    <w:lvl w:ilvl="0" w:tentative="0">
      <w:start w:val="1"/>
      <w:numFmt w:val="bullet"/>
      <w:pStyle w:val="73"/>
      <w:lvlText w:val=""/>
      <w:lvlJc w:val="left"/>
      <w:pPr>
        <w:tabs>
          <w:tab w:val="left" w:pos="960"/>
        </w:tabs>
        <w:ind w:left="960" w:hanging="420"/>
      </w:pPr>
      <w:rPr>
        <w:rFonts w:hint="default" w:ascii="Wingdings" w:hAnsi="Wingdings"/>
      </w:rPr>
    </w:lvl>
    <w:lvl w:ilvl="1" w:tentative="0">
      <w:start w:val="1"/>
      <w:numFmt w:val="decimal"/>
      <w:lvlText w:val="(%2)"/>
      <w:lvlJc w:val="left"/>
      <w:pPr>
        <w:tabs>
          <w:tab w:val="left" w:pos="1440"/>
        </w:tabs>
        <w:ind w:left="1440" w:hanging="480"/>
      </w:pPr>
      <w:rPr>
        <w:rFonts w:hint="eastAsia"/>
      </w:rPr>
    </w:lvl>
    <w:lvl w:ilvl="2" w:tentative="0">
      <w:start w:val="1"/>
      <w:numFmt w:val="decimal"/>
      <w:lvlText w:val="（%3）"/>
      <w:lvlJc w:val="left"/>
      <w:pPr>
        <w:tabs>
          <w:tab w:val="left" w:pos="2100"/>
        </w:tabs>
        <w:ind w:left="2100" w:hanging="720"/>
      </w:pPr>
      <w:rPr>
        <w:rFonts w:hint="default"/>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9">
    <w:nsid w:val="00000028"/>
    <w:multiLevelType w:val="multilevel"/>
    <w:tmpl w:val="00000028"/>
    <w:lvl w:ilvl="0" w:tentative="0">
      <w:start w:val="12"/>
      <w:numFmt w:val="decimal"/>
      <w:lvlText w:val="%1."/>
      <w:lvlJc w:val="left"/>
      <w:pPr>
        <w:tabs>
          <w:tab w:val="left" w:pos="1785"/>
        </w:tabs>
        <w:ind w:left="1785" w:hanging="17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B"/>
    <w:multiLevelType w:val="multilevel"/>
    <w:tmpl w:val="0000002B"/>
    <w:lvl w:ilvl="0" w:tentative="0">
      <w:start w:val="1"/>
      <w:numFmt w:val="bullet"/>
      <w:pStyle w:val="2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0000002C"/>
    <w:multiLevelType w:val="multilevel"/>
    <w:tmpl w:val="0000002C"/>
    <w:lvl w:ilvl="0" w:tentative="0">
      <w:start w:val="1"/>
      <w:numFmt w:val="bullet"/>
      <w:pStyle w:val="39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D"/>
    <w:multiLevelType w:val="multilevel"/>
    <w:tmpl w:val="0000002D"/>
    <w:lvl w:ilvl="0" w:tentative="0">
      <w:start w:val="1"/>
      <w:numFmt w:val="decimal"/>
      <w:pStyle w:val="225"/>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3">
    <w:nsid w:val="00000030"/>
    <w:multiLevelType w:val="multilevel"/>
    <w:tmpl w:val="00000030"/>
    <w:lvl w:ilvl="0" w:tentative="0">
      <w:start w:val="1"/>
      <w:numFmt w:val="decimal"/>
      <w:pStyle w:val="301"/>
      <w:lvlText w:val="2.%1"/>
      <w:lvlJc w:val="left"/>
      <w:pPr>
        <w:tabs>
          <w:tab w:val="left" w:pos="420"/>
        </w:tabs>
        <w:ind w:left="420" w:hanging="420"/>
      </w:pPr>
      <w:rPr>
        <w:rFonts w:hint="eastAsia"/>
        <w:color w:val="auto"/>
        <w:sz w:val="24"/>
        <w:szCs w:val="24"/>
      </w:rPr>
    </w:lvl>
    <w:lvl w:ilvl="1" w:tentative="0">
      <w:start w:val="1"/>
      <w:numFmt w:val="japaneseCounting"/>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00000031"/>
    <w:multiLevelType w:val="multilevel"/>
    <w:tmpl w:val="00000031"/>
    <w:lvl w:ilvl="0" w:tentative="0">
      <w:start w:val="1"/>
      <w:numFmt w:val="bullet"/>
      <w:pStyle w:val="19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5">
    <w:nsid w:val="00000032"/>
    <w:multiLevelType w:val="singleLevel"/>
    <w:tmpl w:val="00000032"/>
    <w:lvl w:ilvl="0" w:tentative="0">
      <w:start w:val="1"/>
      <w:numFmt w:val="bullet"/>
      <w:pStyle w:val="172"/>
      <w:lvlText w:val=""/>
      <w:lvlJc w:val="left"/>
      <w:pPr>
        <w:tabs>
          <w:tab w:val="left" w:pos="792"/>
        </w:tabs>
        <w:ind w:left="792" w:hanging="360"/>
      </w:pPr>
      <w:rPr>
        <w:rFonts w:hint="default" w:ascii="Symbol" w:hAnsi="Symbol"/>
        <w:b w:val="0"/>
        <w:i w:val="0"/>
        <w:sz w:val="24"/>
      </w:rPr>
    </w:lvl>
  </w:abstractNum>
  <w:abstractNum w:abstractNumId="36">
    <w:nsid w:val="32621CDD"/>
    <w:multiLevelType w:val="singleLevel"/>
    <w:tmpl w:val="32621CDD"/>
    <w:lvl w:ilvl="0" w:tentative="0">
      <w:start w:val="1"/>
      <w:numFmt w:val="decimal"/>
      <w:lvlText w:val="%1."/>
      <w:lvlJc w:val="left"/>
      <w:pPr>
        <w:tabs>
          <w:tab w:val="left" w:pos="312"/>
        </w:tabs>
      </w:pPr>
    </w:lvl>
  </w:abstractNum>
  <w:abstractNum w:abstractNumId="37">
    <w:nsid w:val="4E7EF6BA"/>
    <w:multiLevelType w:val="singleLevel"/>
    <w:tmpl w:val="4E7EF6BA"/>
    <w:lvl w:ilvl="0" w:tentative="0">
      <w:start w:val="1"/>
      <w:numFmt w:val="decimal"/>
      <w:lvlText w:val="%1."/>
      <w:lvlJc w:val="left"/>
      <w:pPr>
        <w:tabs>
          <w:tab w:val="left" w:pos="312"/>
        </w:tabs>
      </w:pPr>
    </w:lvl>
  </w:abstractNum>
  <w:abstractNum w:abstractNumId="38">
    <w:nsid w:val="5026DC24"/>
    <w:multiLevelType w:val="singleLevel"/>
    <w:tmpl w:val="5026DC24"/>
    <w:lvl w:ilvl="0" w:tentative="0">
      <w:start w:val="1"/>
      <w:numFmt w:val="decimal"/>
      <w:lvlText w:val="%1."/>
      <w:lvlJc w:val="left"/>
      <w:pPr>
        <w:tabs>
          <w:tab w:val="left" w:pos="312"/>
        </w:tabs>
      </w:pPr>
    </w:lvl>
  </w:abstractNum>
  <w:abstractNum w:abstractNumId="39">
    <w:nsid w:val="5A24EC26"/>
    <w:multiLevelType w:val="singleLevel"/>
    <w:tmpl w:val="5A24EC26"/>
    <w:lvl w:ilvl="0" w:tentative="0">
      <w:start w:val="2"/>
      <w:numFmt w:val="chineseCounting"/>
      <w:suff w:val="nothing"/>
      <w:lvlText w:val="%1、"/>
      <w:lvlJc w:val="left"/>
    </w:lvl>
  </w:abstractNum>
  <w:abstractNum w:abstractNumId="40">
    <w:nsid w:val="6D9DDDCB"/>
    <w:multiLevelType w:val="singleLevel"/>
    <w:tmpl w:val="6D9DDDCB"/>
    <w:lvl w:ilvl="0" w:tentative="0">
      <w:start w:val="3"/>
      <w:numFmt w:val="chineseCounting"/>
      <w:suff w:val="nothing"/>
      <w:lvlText w:val="（%1）"/>
      <w:lvlJc w:val="left"/>
      <w:rPr>
        <w:rFonts w:hint="eastAsia"/>
      </w:rPr>
    </w:lvl>
  </w:abstractNum>
  <w:abstractNum w:abstractNumId="41">
    <w:nsid w:val="7EF4BBFF"/>
    <w:multiLevelType w:val="singleLevel"/>
    <w:tmpl w:val="7EF4BBFF"/>
    <w:lvl w:ilvl="0" w:tentative="0">
      <w:start w:val="2"/>
      <w:numFmt w:val="decimal"/>
      <w:suff w:val="space"/>
      <w:lvlText w:val="%1."/>
      <w:lvlJc w:val="left"/>
    </w:lvl>
  </w:abstractNum>
  <w:num w:numId="1">
    <w:abstractNumId w:val="11"/>
  </w:num>
  <w:num w:numId="2">
    <w:abstractNumId w:val="28"/>
  </w:num>
  <w:num w:numId="3">
    <w:abstractNumId w:val="16"/>
  </w:num>
  <w:num w:numId="4">
    <w:abstractNumId w:val="35"/>
  </w:num>
  <w:num w:numId="5">
    <w:abstractNumId w:val="9"/>
  </w:num>
  <w:num w:numId="6">
    <w:abstractNumId w:val="24"/>
  </w:num>
  <w:num w:numId="7">
    <w:abstractNumId w:val="34"/>
  </w:num>
  <w:num w:numId="8">
    <w:abstractNumId w:val="25"/>
  </w:num>
  <w:num w:numId="9">
    <w:abstractNumId w:val="32"/>
  </w:num>
  <w:num w:numId="10">
    <w:abstractNumId w:val="8"/>
  </w:num>
  <w:num w:numId="11">
    <w:abstractNumId w:val="30"/>
  </w:num>
  <w:num w:numId="12">
    <w:abstractNumId w:val="19"/>
  </w:num>
  <w:num w:numId="13">
    <w:abstractNumId w:val="15"/>
  </w:num>
  <w:num w:numId="14">
    <w:abstractNumId w:val="14"/>
  </w:num>
  <w:num w:numId="15">
    <w:abstractNumId w:val="20"/>
  </w:num>
  <w:num w:numId="16">
    <w:abstractNumId w:val="13"/>
  </w:num>
  <w:num w:numId="17">
    <w:abstractNumId w:val="10"/>
  </w:num>
  <w:num w:numId="18">
    <w:abstractNumId w:val="33"/>
  </w:num>
  <w:num w:numId="19">
    <w:abstractNumId w:val="21"/>
  </w:num>
  <w:num w:numId="20">
    <w:abstractNumId w:val="18"/>
  </w:num>
  <w:num w:numId="21">
    <w:abstractNumId w:val="26"/>
  </w:num>
  <w:num w:numId="22">
    <w:abstractNumId w:val="23"/>
  </w:num>
  <w:num w:numId="23">
    <w:abstractNumId w:val="27"/>
  </w:num>
  <w:num w:numId="24">
    <w:abstractNumId w:val="12"/>
  </w:num>
  <w:num w:numId="25">
    <w:abstractNumId w:val="22"/>
  </w:num>
  <w:num w:numId="26">
    <w:abstractNumId w:val="17"/>
  </w:num>
  <w:num w:numId="27">
    <w:abstractNumId w:val="31"/>
  </w:num>
  <w:num w:numId="28">
    <w:abstractNumId w:val="7"/>
  </w:num>
  <w:num w:numId="29">
    <w:abstractNumId w:val="41"/>
  </w:num>
  <w:num w:numId="30">
    <w:abstractNumId w:val="29"/>
  </w:num>
  <w:num w:numId="31">
    <w:abstractNumId w:val="40"/>
  </w:num>
  <w:num w:numId="32">
    <w:abstractNumId w:val="36"/>
  </w:num>
  <w:num w:numId="33">
    <w:abstractNumId w:val="5"/>
  </w:num>
  <w:num w:numId="34">
    <w:abstractNumId w:val="37"/>
  </w:num>
  <w:num w:numId="35">
    <w:abstractNumId w:val="1"/>
  </w:num>
  <w:num w:numId="36">
    <w:abstractNumId w:val="3"/>
  </w:num>
  <w:num w:numId="37">
    <w:abstractNumId w:val="6"/>
  </w:num>
  <w:num w:numId="38">
    <w:abstractNumId w:val="38"/>
  </w:num>
  <w:num w:numId="39">
    <w:abstractNumId w:val="4"/>
  </w:num>
  <w:num w:numId="40">
    <w:abstractNumId w:val="0"/>
  </w:num>
  <w:num w:numId="41">
    <w:abstractNumId w:val="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MxYjYzNmYxMTk3ZGYzYjljNTFhYzQ5Zjk2ZDkifQ=="/>
  </w:docVars>
  <w:rsids>
    <w:rsidRoot w:val="00172A27"/>
    <w:rsid w:val="00014FA6"/>
    <w:rsid w:val="000365F1"/>
    <w:rsid w:val="00043472"/>
    <w:rsid w:val="00044580"/>
    <w:rsid w:val="00052636"/>
    <w:rsid w:val="00060B21"/>
    <w:rsid w:val="00073C3A"/>
    <w:rsid w:val="000762D1"/>
    <w:rsid w:val="00080859"/>
    <w:rsid w:val="00085221"/>
    <w:rsid w:val="000B6FA5"/>
    <w:rsid w:val="000C6ECD"/>
    <w:rsid w:val="000D0939"/>
    <w:rsid w:val="000E2269"/>
    <w:rsid w:val="000E45EA"/>
    <w:rsid w:val="000E5BB9"/>
    <w:rsid w:val="00100B7F"/>
    <w:rsid w:val="00101187"/>
    <w:rsid w:val="0011373C"/>
    <w:rsid w:val="00120ACD"/>
    <w:rsid w:val="001636C3"/>
    <w:rsid w:val="00163990"/>
    <w:rsid w:val="00172A27"/>
    <w:rsid w:val="001741DB"/>
    <w:rsid w:val="00197BD9"/>
    <w:rsid w:val="001A1F1A"/>
    <w:rsid w:val="001B3318"/>
    <w:rsid w:val="001C1A98"/>
    <w:rsid w:val="001C5CA0"/>
    <w:rsid w:val="001D793D"/>
    <w:rsid w:val="001F29E4"/>
    <w:rsid w:val="001F682E"/>
    <w:rsid w:val="002023C2"/>
    <w:rsid w:val="002050A5"/>
    <w:rsid w:val="00213E2F"/>
    <w:rsid w:val="00221E2E"/>
    <w:rsid w:val="00227715"/>
    <w:rsid w:val="002441CD"/>
    <w:rsid w:val="002606D4"/>
    <w:rsid w:val="002615D2"/>
    <w:rsid w:val="00273974"/>
    <w:rsid w:val="00284144"/>
    <w:rsid w:val="0029263F"/>
    <w:rsid w:val="002A1493"/>
    <w:rsid w:val="002A3D47"/>
    <w:rsid w:val="002B33AE"/>
    <w:rsid w:val="002C1F42"/>
    <w:rsid w:val="002D2D54"/>
    <w:rsid w:val="002E203C"/>
    <w:rsid w:val="002F1EEE"/>
    <w:rsid w:val="002F318E"/>
    <w:rsid w:val="0031116C"/>
    <w:rsid w:val="00314F97"/>
    <w:rsid w:val="0031718D"/>
    <w:rsid w:val="00317231"/>
    <w:rsid w:val="00321629"/>
    <w:rsid w:val="00324E03"/>
    <w:rsid w:val="0032690F"/>
    <w:rsid w:val="00344603"/>
    <w:rsid w:val="003450FE"/>
    <w:rsid w:val="00347B2B"/>
    <w:rsid w:val="003678A6"/>
    <w:rsid w:val="003A7F7D"/>
    <w:rsid w:val="003B305B"/>
    <w:rsid w:val="003B718D"/>
    <w:rsid w:val="003C4B74"/>
    <w:rsid w:val="003C4EC2"/>
    <w:rsid w:val="003D44C1"/>
    <w:rsid w:val="003E1354"/>
    <w:rsid w:val="003E6059"/>
    <w:rsid w:val="003E68DD"/>
    <w:rsid w:val="00404572"/>
    <w:rsid w:val="00406B45"/>
    <w:rsid w:val="00411E63"/>
    <w:rsid w:val="00413C5B"/>
    <w:rsid w:val="00433327"/>
    <w:rsid w:val="00435902"/>
    <w:rsid w:val="00452C89"/>
    <w:rsid w:val="00466BDA"/>
    <w:rsid w:val="00481D92"/>
    <w:rsid w:val="00486207"/>
    <w:rsid w:val="004A356B"/>
    <w:rsid w:val="004B632A"/>
    <w:rsid w:val="004C3407"/>
    <w:rsid w:val="004C60CB"/>
    <w:rsid w:val="004D3C0B"/>
    <w:rsid w:val="004E441D"/>
    <w:rsid w:val="005114E7"/>
    <w:rsid w:val="0051335D"/>
    <w:rsid w:val="00523A4E"/>
    <w:rsid w:val="00526A21"/>
    <w:rsid w:val="00531A6D"/>
    <w:rsid w:val="005357B2"/>
    <w:rsid w:val="005412F4"/>
    <w:rsid w:val="00550758"/>
    <w:rsid w:val="005536CE"/>
    <w:rsid w:val="00577454"/>
    <w:rsid w:val="005B46F2"/>
    <w:rsid w:val="005C0B0E"/>
    <w:rsid w:val="005E7937"/>
    <w:rsid w:val="005F7A80"/>
    <w:rsid w:val="006004DC"/>
    <w:rsid w:val="00614A98"/>
    <w:rsid w:val="006265B6"/>
    <w:rsid w:val="00637461"/>
    <w:rsid w:val="0064115B"/>
    <w:rsid w:val="0064167E"/>
    <w:rsid w:val="0065066B"/>
    <w:rsid w:val="00651168"/>
    <w:rsid w:val="00652E00"/>
    <w:rsid w:val="00695EB0"/>
    <w:rsid w:val="006B13D1"/>
    <w:rsid w:val="006B1B2F"/>
    <w:rsid w:val="006C0B63"/>
    <w:rsid w:val="006C7E26"/>
    <w:rsid w:val="006D6B4B"/>
    <w:rsid w:val="006D6F6B"/>
    <w:rsid w:val="006E3FEC"/>
    <w:rsid w:val="006E4C13"/>
    <w:rsid w:val="0070679E"/>
    <w:rsid w:val="00726EB9"/>
    <w:rsid w:val="007352B2"/>
    <w:rsid w:val="0073552B"/>
    <w:rsid w:val="00740838"/>
    <w:rsid w:val="00746212"/>
    <w:rsid w:val="0076252E"/>
    <w:rsid w:val="00783DEE"/>
    <w:rsid w:val="00786FF4"/>
    <w:rsid w:val="007955BB"/>
    <w:rsid w:val="00797994"/>
    <w:rsid w:val="007A1F9B"/>
    <w:rsid w:val="007B07A5"/>
    <w:rsid w:val="007B414B"/>
    <w:rsid w:val="007C030A"/>
    <w:rsid w:val="007C2D3C"/>
    <w:rsid w:val="007D0871"/>
    <w:rsid w:val="007D53A2"/>
    <w:rsid w:val="007E05A2"/>
    <w:rsid w:val="00802065"/>
    <w:rsid w:val="008029BE"/>
    <w:rsid w:val="008116E2"/>
    <w:rsid w:val="00821C7C"/>
    <w:rsid w:val="00841BEA"/>
    <w:rsid w:val="008636E6"/>
    <w:rsid w:val="00864474"/>
    <w:rsid w:val="00866483"/>
    <w:rsid w:val="00875964"/>
    <w:rsid w:val="00890078"/>
    <w:rsid w:val="008A521C"/>
    <w:rsid w:val="008A7F4F"/>
    <w:rsid w:val="008B748D"/>
    <w:rsid w:val="008C0356"/>
    <w:rsid w:val="008D0223"/>
    <w:rsid w:val="008D5277"/>
    <w:rsid w:val="008D5703"/>
    <w:rsid w:val="008F270D"/>
    <w:rsid w:val="0090067B"/>
    <w:rsid w:val="0091736B"/>
    <w:rsid w:val="0092077D"/>
    <w:rsid w:val="009234BF"/>
    <w:rsid w:val="0094250B"/>
    <w:rsid w:val="00947E08"/>
    <w:rsid w:val="00954543"/>
    <w:rsid w:val="00960B4C"/>
    <w:rsid w:val="009651AC"/>
    <w:rsid w:val="0098562A"/>
    <w:rsid w:val="0099360E"/>
    <w:rsid w:val="009A02CC"/>
    <w:rsid w:val="009A2C87"/>
    <w:rsid w:val="009A5B3D"/>
    <w:rsid w:val="009B1098"/>
    <w:rsid w:val="009C76E2"/>
    <w:rsid w:val="009D1325"/>
    <w:rsid w:val="009D6ADD"/>
    <w:rsid w:val="009E0827"/>
    <w:rsid w:val="009E7A5C"/>
    <w:rsid w:val="00A06068"/>
    <w:rsid w:val="00A44AD7"/>
    <w:rsid w:val="00A57E38"/>
    <w:rsid w:val="00A846DD"/>
    <w:rsid w:val="00AB454D"/>
    <w:rsid w:val="00AB6A66"/>
    <w:rsid w:val="00AC01BD"/>
    <w:rsid w:val="00AC64A6"/>
    <w:rsid w:val="00AC7C3A"/>
    <w:rsid w:val="00AE15E2"/>
    <w:rsid w:val="00AF2565"/>
    <w:rsid w:val="00B06F1E"/>
    <w:rsid w:val="00B23DE5"/>
    <w:rsid w:val="00B25E03"/>
    <w:rsid w:val="00B350F6"/>
    <w:rsid w:val="00B47037"/>
    <w:rsid w:val="00B513C7"/>
    <w:rsid w:val="00B52752"/>
    <w:rsid w:val="00B94CFD"/>
    <w:rsid w:val="00B960C6"/>
    <w:rsid w:val="00B964BA"/>
    <w:rsid w:val="00BB0176"/>
    <w:rsid w:val="00BE1562"/>
    <w:rsid w:val="00BF0C14"/>
    <w:rsid w:val="00BF26D9"/>
    <w:rsid w:val="00C10D6A"/>
    <w:rsid w:val="00C124B4"/>
    <w:rsid w:val="00C12A6F"/>
    <w:rsid w:val="00C3229C"/>
    <w:rsid w:val="00C325D7"/>
    <w:rsid w:val="00C378F5"/>
    <w:rsid w:val="00C419A1"/>
    <w:rsid w:val="00C45393"/>
    <w:rsid w:val="00C5301B"/>
    <w:rsid w:val="00C72CBF"/>
    <w:rsid w:val="00C86B68"/>
    <w:rsid w:val="00C930F0"/>
    <w:rsid w:val="00CA56AF"/>
    <w:rsid w:val="00CA5AFC"/>
    <w:rsid w:val="00CA5CB1"/>
    <w:rsid w:val="00CA5F40"/>
    <w:rsid w:val="00CB4207"/>
    <w:rsid w:val="00CC3FE2"/>
    <w:rsid w:val="00CD1AA9"/>
    <w:rsid w:val="00CD7E80"/>
    <w:rsid w:val="00D52563"/>
    <w:rsid w:val="00D66FE3"/>
    <w:rsid w:val="00D74745"/>
    <w:rsid w:val="00D76712"/>
    <w:rsid w:val="00DB6F86"/>
    <w:rsid w:val="00DB76C4"/>
    <w:rsid w:val="00DC3B19"/>
    <w:rsid w:val="00DD4403"/>
    <w:rsid w:val="00E003F4"/>
    <w:rsid w:val="00E02897"/>
    <w:rsid w:val="00E028D7"/>
    <w:rsid w:val="00E03841"/>
    <w:rsid w:val="00E13F96"/>
    <w:rsid w:val="00E179F0"/>
    <w:rsid w:val="00E2222E"/>
    <w:rsid w:val="00E26D4D"/>
    <w:rsid w:val="00E608EB"/>
    <w:rsid w:val="00E710C9"/>
    <w:rsid w:val="00E72378"/>
    <w:rsid w:val="00E7542A"/>
    <w:rsid w:val="00EA65BF"/>
    <w:rsid w:val="00EA7E51"/>
    <w:rsid w:val="00EB0724"/>
    <w:rsid w:val="00EC242C"/>
    <w:rsid w:val="00EC781E"/>
    <w:rsid w:val="00ED0E79"/>
    <w:rsid w:val="00ED6FF9"/>
    <w:rsid w:val="00EE4E5A"/>
    <w:rsid w:val="00F033F5"/>
    <w:rsid w:val="00F1143C"/>
    <w:rsid w:val="00F24302"/>
    <w:rsid w:val="00F30187"/>
    <w:rsid w:val="00F3327E"/>
    <w:rsid w:val="00F3777B"/>
    <w:rsid w:val="00F434CF"/>
    <w:rsid w:val="00F47538"/>
    <w:rsid w:val="00F53C50"/>
    <w:rsid w:val="00F56102"/>
    <w:rsid w:val="00F700CB"/>
    <w:rsid w:val="00F80BA7"/>
    <w:rsid w:val="00F81A0C"/>
    <w:rsid w:val="00F97698"/>
    <w:rsid w:val="00FA62E6"/>
    <w:rsid w:val="00FB63C4"/>
    <w:rsid w:val="00FB75FD"/>
    <w:rsid w:val="00FE55C9"/>
    <w:rsid w:val="00FF05E5"/>
    <w:rsid w:val="00FF0CB0"/>
    <w:rsid w:val="00FF533C"/>
    <w:rsid w:val="010F3404"/>
    <w:rsid w:val="01503BE6"/>
    <w:rsid w:val="02B9352B"/>
    <w:rsid w:val="03522C5A"/>
    <w:rsid w:val="0362477C"/>
    <w:rsid w:val="05ED7EBF"/>
    <w:rsid w:val="06334B4F"/>
    <w:rsid w:val="0A8B552B"/>
    <w:rsid w:val="0B431514"/>
    <w:rsid w:val="0B5A20BF"/>
    <w:rsid w:val="0B9F7D27"/>
    <w:rsid w:val="0CD54059"/>
    <w:rsid w:val="0D031F9C"/>
    <w:rsid w:val="0DFB6B2B"/>
    <w:rsid w:val="0E9922EB"/>
    <w:rsid w:val="0F2C0E09"/>
    <w:rsid w:val="0FCE2629"/>
    <w:rsid w:val="10063C8B"/>
    <w:rsid w:val="10B56B06"/>
    <w:rsid w:val="11C3373C"/>
    <w:rsid w:val="14404AE8"/>
    <w:rsid w:val="16170B8A"/>
    <w:rsid w:val="16AD3DB0"/>
    <w:rsid w:val="16C74602"/>
    <w:rsid w:val="17BB4BB0"/>
    <w:rsid w:val="184D0F91"/>
    <w:rsid w:val="18D40DB0"/>
    <w:rsid w:val="192C12ED"/>
    <w:rsid w:val="1A061892"/>
    <w:rsid w:val="1A0E1ACF"/>
    <w:rsid w:val="1A5C40D3"/>
    <w:rsid w:val="1AD04BC2"/>
    <w:rsid w:val="1AF35096"/>
    <w:rsid w:val="1B8A00A0"/>
    <w:rsid w:val="1C49316A"/>
    <w:rsid w:val="1CD20DD8"/>
    <w:rsid w:val="1D17598C"/>
    <w:rsid w:val="1E6D6292"/>
    <w:rsid w:val="1E7948A6"/>
    <w:rsid w:val="1F9F54FC"/>
    <w:rsid w:val="21260DE0"/>
    <w:rsid w:val="21E11EFA"/>
    <w:rsid w:val="23CB6D5D"/>
    <w:rsid w:val="278447B8"/>
    <w:rsid w:val="28857CFC"/>
    <w:rsid w:val="28962DD3"/>
    <w:rsid w:val="2A6E7BDF"/>
    <w:rsid w:val="2AEE46E5"/>
    <w:rsid w:val="2C1510A8"/>
    <w:rsid w:val="2C444745"/>
    <w:rsid w:val="2CB016AA"/>
    <w:rsid w:val="2D22423B"/>
    <w:rsid w:val="2D841D39"/>
    <w:rsid w:val="2E594A2C"/>
    <w:rsid w:val="2F735D39"/>
    <w:rsid w:val="304955B3"/>
    <w:rsid w:val="30E6775E"/>
    <w:rsid w:val="32586376"/>
    <w:rsid w:val="32C64D28"/>
    <w:rsid w:val="340C5DD9"/>
    <w:rsid w:val="3438505D"/>
    <w:rsid w:val="36241494"/>
    <w:rsid w:val="3632560E"/>
    <w:rsid w:val="36FD6BE2"/>
    <w:rsid w:val="39690E4D"/>
    <w:rsid w:val="39AD4CA9"/>
    <w:rsid w:val="39BB2D61"/>
    <w:rsid w:val="3B9B3C0E"/>
    <w:rsid w:val="3C8D7A42"/>
    <w:rsid w:val="3E0C4BC5"/>
    <w:rsid w:val="3EF25C8B"/>
    <w:rsid w:val="3F07325B"/>
    <w:rsid w:val="3F19435C"/>
    <w:rsid w:val="3F444DEC"/>
    <w:rsid w:val="3FB365E9"/>
    <w:rsid w:val="40A23F11"/>
    <w:rsid w:val="41526A17"/>
    <w:rsid w:val="420F7CF9"/>
    <w:rsid w:val="423C6231"/>
    <w:rsid w:val="43CC09BD"/>
    <w:rsid w:val="443A225E"/>
    <w:rsid w:val="45661F55"/>
    <w:rsid w:val="456D4A95"/>
    <w:rsid w:val="46135C5B"/>
    <w:rsid w:val="4648105B"/>
    <w:rsid w:val="4C070DF2"/>
    <w:rsid w:val="4D0B47E0"/>
    <w:rsid w:val="4E306737"/>
    <w:rsid w:val="504017B0"/>
    <w:rsid w:val="50616529"/>
    <w:rsid w:val="520D1B59"/>
    <w:rsid w:val="52126D10"/>
    <w:rsid w:val="56715D0D"/>
    <w:rsid w:val="583951AE"/>
    <w:rsid w:val="58BA7233"/>
    <w:rsid w:val="58DF4B54"/>
    <w:rsid w:val="5DA15823"/>
    <w:rsid w:val="5DAA64F0"/>
    <w:rsid w:val="5E0D4CF0"/>
    <w:rsid w:val="5F5A1288"/>
    <w:rsid w:val="5F911E62"/>
    <w:rsid w:val="5FB90319"/>
    <w:rsid w:val="5FCF795A"/>
    <w:rsid w:val="608E59B3"/>
    <w:rsid w:val="625A2ED0"/>
    <w:rsid w:val="630408D4"/>
    <w:rsid w:val="652435AA"/>
    <w:rsid w:val="652F722F"/>
    <w:rsid w:val="67397C72"/>
    <w:rsid w:val="686A2352"/>
    <w:rsid w:val="68D86351"/>
    <w:rsid w:val="69C2222A"/>
    <w:rsid w:val="6A8D1D2D"/>
    <w:rsid w:val="6B392D77"/>
    <w:rsid w:val="6B6212B3"/>
    <w:rsid w:val="6BF26897"/>
    <w:rsid w:val="6EE91475"/>
    <w:rsid w:val="6F995C50"/>
    <w:rsid w:val="6FD70B39"/>
    <w:rsid w:val="6FE92904"/>
    <w:rsid w:val="704730E1"/>
    <w:rsid w:val="7154309C"/>
    <w:rsid w:val="72873175"/>
    <w:rsid w:val="734C1C29"/>
    <w:rsid w:val="739B0D81"/>
    <w:rsid w:val="73A32238"/>
    <w:rsid w:val="73AF1A71"/>
    <w:rsid w:val="751670B7"/>
    <w:rsid w:val="76241626"/>
    <w:rsid w:val="77A108C5"/>
    <w:rsid w:val="77DA4E48"/>
    <w:rsid w:val="78244C2B"/>
    <w:rsid w:val="78C0052C"/>
    <w:rsid w:val="78EC3FFA"/>
    <w:rsid w:val="7B8938E5"/>
    <w:rsid w:val="7C400923"/>
    <w:rsid w:val="7C43330E"/>
    <w:rsid w:val="7CBB754A"/>
    <w:rsid w:val="7DBE3BDC"/>
    <w:rsid w:val="7E393D1F"/>
    <w:rsid w:val="7E8D4226"/>
    <w:rsid w:val="7F141322"/>
    <w:rsid w:val="7F8C2CB8"/>
    <w:rsid w:val="7F97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宋体" w:cs="Times New Roman"/>
      <w:sz w:val="22"/>
      <w:szCs w:val="22"/>
      <w:lang w:val="en-US" w:eastAsia="en-US" w:bidi="en-US"/>
    </w:rPr>
  </w:style>
  <w:style w:type="paragraph" w:styleId="3">
    <w:name w:val="heading 1"/>
    <w:basedOn w:val="1"/>
    <w:next w:val="1"/>
    <w:link w:val="106"/>
    <w:qFormat/>
    <w:uiPriority w:val="9"/>
    <w:pPr>
      <w:keepNext/>
      <w:keepLines/>
      <w:spacing w:before="480" w:after="0"/>
      <w:outlineLvl w:val="0"/>
    </w:pPr>
    <w:rPr>
      <w:rFonts w:ascii="Cambria" w:hAnsi="Cambria"/>
      <w:b/>
      <w:bCs/>
      <w:color w:val="365F91"/>
      <w:sz w:val="28"/>
      <w:szCs w:val="28"/>
      <w:lang w:bidi="ar-SA"/>
    </w:rPr>
  </w:style>
  <w:style w:type="paragraph" w:styleId="4">
    <w:name w:val="heading 2"/>
    <w:basedOn w:val="1"/>
    <w:next w:val="1"/>
    <w:link w:val="82"/>
    <w:unhideWhenUsed/>
    <w:qFormat/>
    <w:uiPriority w:val="9"/>
    <w:pPr>
      <w:keepNext/>
      <w:keepLines/>
      <w:spacing w:before="200" w:after="0"/>
      <w:outlineLvl w:val="1"/>
    </w:pPr>
    <w:rPr>
      <w:rFonts w:ascii="Cambria" w:hAnsi="Cambria"/>
      <w:b/>
      <w:bCs/>
      <w:color w:val="4F81BD"/>
      <w:sz w:val="26"/>
      <w:szCs w:val="26"/>
      <w:lang w:bidi="ar-SA"/>
    </w:rPr>
  </w:style>
  <w:style w:type="paragraph" w:styleId="5">
    <w:name w:val="heading 3"/>
    <w:basedOn w:val="1"/>
    <w:next w:val="1"/>
    <w:link w:val="118"/>
    <w:unhideWhenUsed/>
    <w:qFormat/>
    <w:uiPriority w:val="9"/>
    <w:pPr>
      <w:keepNext/>
      <w:keepLines/>
      <w:spacing w:before="200" w:after="0"/>
      <w:outlineLvl w:val="2"/>
    </w:pPr>
    <w:rPr>
      <w:rFonts w:ascii="Cambria" w:hAnsi="Cambria"/>
      <w:b/>
      <w:bCs/>
      <w:color w:val="4F81BD"/>
      <w:sz w:val="20"/>
      <w:szCs w:val="20"/>
      <w:lang w:bidi="ar-SA"/>
    </w:rPr>
  </w:style>
  <w:style w:type="paragraph" w:styleId="6">
    <w:name w:val="heading 4"/>
    <w:basedOn w:val="1"/>
    <w:next w:val="1"/>
    <w:link w:val="117"/>
    <w:unhideWhenUsed/>
    <w:qFormat/>
    <w:uiPriority w:val="9"/>
    <w:pPr>
      <w:keepNext/>
      <w:keepLines/>
      <w:spacing w:before="200" w:after="0"/>
      <w:outlineLvl w:val="3"/>
    </w:pPr>
    <w:rPr>
      <w:rFonts w:ascii="Cambria" w:hAnsi="Cambria"/>
      <w:b/>
      <w:bCs/>
      <w:i/>
      <w:iCs/>
      <w:color w:val="4F81BD"/>
      <w:sz w:val="20"/>
      <w:szCs w:val="20"/>
      <w:lang w:bidi="ar-SA"/>
    </w:rPr>
  </w:style>
  <w:style w:type="paragraph" w:styleId="7">
    <w:name w:val="heading 5"/>
    <w:basedOn w:val="1"/>
    <w:next w:val="1"/>
    <w:link w:val="167"/>
    <w:unhideWhenUsed/>
    <w:qFormat/>
    <w:uiPriority w:val="9"/>
    <w:pPr>
      <w:keepNext/>
      <w:keepLines/>
      <w:spacing w:before="200" w:after="0"/>
      <w:outlineLvl w:val="4"/>
    </w:pPr>
    <w:rPr>
      <w:rFonts w:ascii="Cambria" w:hAnsi="Cambria"/>
      <w:color w:val="243F60"/>
      <w:sz w:val="20"/>
      <w:szCs w:val="20"/>
      <w:lang w:bidi="ar-SA"/>
    </w:rPr>
  </w:style>
  <w:style w:type="paragraph" w:styleId="8">
    <w:name w:val="heading 6"/>
    <w:basedOn w:val="1"/>
    <w:next w:val="1"/>
    <w:link w:val="110"/>
    <w:unhideWhenUsed/>
    <w:qFormat/>
    <w:uiPriority w:val="9"/>
    <w:pPr>
      <w:keepNext/>
      <w:keepLines/>
      <w:spacing w:before="200" w:after="0"/>
      <w:outlineLvl w:val="5"/>
    </w:pPr>
    <w:rPr>
      <w:rFonts w:ascii="Cambria" w:hAnsi="Cambria"/>
      <w:i/>
      <w:iCs/>
      <w:color w:val="243F60"/>
      <w:sz w:val="20"/>
      <w:szCs w:val="20"/>
      <w:lang w:bidi="ar-SA"/>
    </w:rPr>
  </w:style>
  <w:style w:type="paragraph" w:styleId="9">
    <w:name w:val="heading 7"/>
    <w:basedOn w:val="1"/>
    <w:next w:val="1"/>
    <w:link w:val="140"/>
    <w:unhideWhenUsed/>
    <w:qFormat/>
    <w:uiPriority w:val="9"/>
    <w:pPr>
      <w:keepNext/>
      <w:keepLines/>
      <w:spacing w:before="200" w:after="0"/>
      <w:outlineLvl w:val="6"/>
    </w:pPr>
    <w:rPr>
      <w:rFonts w:ascii="Cambria" w:hAnsi="Cambria"/>
      <w:i/>
      <w:iCs/>
      <w:color w:val="404040"/>
      <w:sz w:val="20"/>
      <w:szCs w:val="20"/>
      <w:lang w:bidi="ar-SA"/>
    </w:rPr>
  </w:style>
  <w:style w:type="paragraph" w:styleId="10">
    <w:name w:val="heading 8"/>
    <w:basedOn w:val="1"/>
    <w:next w:val="1"/>
    <w:link w:val="85"/>
    <w:unhideWhenUsed/>
    <w:qFormat/>
    <w:uiPriority w:val="9"/>
    <w:pPr>
      <w:keepNext/>
      <w:keepLines/>
      <w:spacing w:before="200" w:after="0"/>
      <w:outlineLvl w:val="7"/>
    </w:pPr>
    <w:rPr>
      <w:rFonts w:ascii="Cambria" w:hAnsi="Cambria"/>
      <w:color w:val="4F81BD"/>
      <w:sz w:val="20"/>
      <w:szCs w:val="20"/>
      <w:lang w:bidi="ar-SA"/>
    </w:rPr>
  </w:style>
  <w:style w:type="paragraph" w:styleId="11">
    <w:name w:val="heading 9"/>
    <w:basedOn w:val="1"/>
    <w:next w:val="1"/>
    <w:link w:val="131"/>
    <w:unhideWhenUsed/>
    <w:qFormat/>
    <w:uiPriority w:val="9"/>
    <w:pPr>
      <w:keepNext/>
      <w:keepLines/>
      <w:spacing w:before="200" w:after="0"/>
      <w:outlineLvl w:val="8"/>
    </w:pPr>
    <w:rPr>
      <w:rFonts w:ascii="Cambria" w:hAnsi="Cambria"/>
      <w:i/>
      <w:iCs/>
      <w:color w:val="404040"/>
      <w:sz w:val="20"/>
      <w:szCs w:val="20"/>
      <w:lang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spacing w:line="360" w:lineRule="auto"/>
    </w:pPr>
    <w:rPr>
      <w:kern w:val="2"/>
      <w:sz w:val="24"/>
      <w:szCs w:val="28"/>
      <w:lang w:eastAsia="zh-CN" w:bidi="ar-SA"/>
    </w:rPr>
  </w:style>
  <w:style w:type="paragraph" w:styleId="12">
    <w:name w:val="toc 7"/>
    <w:basedOn w:val="1"/>
    <w:next w:val="1"/>
    <w:qFormat/>
    <w:uiPriority w:val="0"/>
    <w:pPr>
      <w:ind w:left="2520" w:leftChars="1200"/>
    </w:pPr>
  </w:style>
  <w:style w:type="paragraph" w:styleId="13">
    <w:name w:val="caption"/>
    <w:basedOn w:val="1"/>
    <w:next w:val="1"/>
    <w:unhideWhenUsed/>
    <w:qFormat/>
    <w:uiPriority w:val="35"/>
    <w:pPr>
      <w:spacing w:line="240" w:lineRule="auto"/>
    </w:pPr>
    <w:rPr>
      <w:b/>
      <w:bCs/>
      <w:color w:val="4F81BD"/>
      <w:sz w:val="18"/>
      <w:szCs w:val="18"/>
    </w:rPr>
  </w:style>
  <w:style w:type="paragraph" w:styleId="14">
    <w:name w:val="List Bullet"/>
    <w:basedOn w:val="1"/>
    <w:qFormat/>
    <w:uiPriority w:val="0"/>
    <w:pPr>
      <w:tabs>
        <w:tab w:val="left" w:pos="360"/>
      </w:tabs>
      <w:spacing w:line="240" w:lineRule="atLeast"/>
      <w:ind w:left="360" w:leftChars="30" w:hanging="360"/>
    </w:pPr>
    <w:rPr>
      <w:rFonts w:ascii="宋体" w:hAnsi="宋体"/>
      <w:sz w:val="24"/>
    </w:rPr>
  </w:style>
  <w:style w:type="paragraph" w:styleId="15">
    <w:name w:val="annotation text"/>
    <w:basedOn w:val="1"/>
    <w:link w:val="115"/>
    <w:qFormat/>
    <w:uiPriority w:val="0"/>
    <w:rPr>
      <w:kern w:val="2"/>
      <w:sz w:val="21"/>
      <w:szCs w:val="28"/>
      <w:lang w:eastAsia="zh-CN" w:bidi="ar-SA"/>
    </w:rPr>
  </w:style>
  <w:style w:type="paragraph" w:styleId="16">
    <w:name w:val="List Bullet 3"/>
    <w:basedOn w:val="1"/>
    <w:qFormat/>
    <w:uiPriority w:val="0"/>
    <w:pPr>
      <w:tabs>
        <w:tab w:val="left" w:pos="1200"/>
      </w:tabs>
      <w:ind w:left="1200" w:leftChars="400" w:hanging="360" w:hangingChars="200"/>
    </w:pPr>
    <w:rPr>
      <w:szCs w:val="28"/>
    </w:rPr>
  </w:style>
  <w:style w:type="paragraph" w:styleId="17">
    <w:name w:val="List Bullet 2"/>
    <w:basedOn w:val="1"/>
    <w:qFormat/>
    <w:uiPriority w:val="0"/>
    <w:pPr>
      <w:tabs>
        <w:tab w:val="left" w:pos="780"/>
      </w:tabs>
      <w:spacing w:line="400" w:lineRule="exact"/>
      <w:ind w:left="780" w:leftChars="200" w:hanging="360" w:hangingChars="200"/>
    </w:pPr>
    <w:rPr>
      <w:rFonts w:ascii="宋体" w:hAnsi="宋体"/>
      <w:sz w:val="24"/>
      <w:szCs w:val="18"/>
    </w:rPr>
  </w:style>
  <w:style w:type="paragraph" w:styleId="18">
    <w:name w:val="toc 5"/>
    <w:basedOn w:val="1"/>
    <w:next w:val="1"/>
    <w:qFormat/>
    <w:uiPriority w:val="0"/>
    <w:pPr>
      <w:ind w:left="1680" w:leftChars="800"/>
    </w:pPr>
  </w:style>
  <w:style w:type="paragraph" w:styleId="19">
    <w:name w:val="toc 3"/>
    <w:basedOn w:val="1"/>
    <w:next w:val="1"/>
    <w:qFormat/>
    <w:uiPriority w:val="39"/>
    <w:pPr>
      <w:ind w:left="840" w:leftChars="400"/>
    </w:pPr>
  </w:style>
  <w:style w:type="paragraph" w:styleId="20">
    <w:name w:val="toc 8"/>
    <w:basedOn w:val="1"/>
    <w:next w:val="1"/>
    <w:qFormat/>
    <w:uiPriority w:val="0"/>
    <w:pPr>
      <w:ind w:left="2940" w:leftChars="1400"/>
    </w:pPr>
  </w:style>
  <w:style w:type="paragraph" w:styleId="21">
    <w:name w:val="Date"/>
    <w:basedOn w:val="1"/>
    <w:next w:val="1"/>
    <w:qFormat/>
    <w:uiPriority w:val="0"/>
    <w:pPr>
      <w:ind w:left="100" w:leftChars="2500"/>
    </w:pPr>
    <w:rPr>
      <w:kern w:val="2"/>
      <w:sz w:val="21"/>
      <w:szCs w:val="28"/>
      <w:lang w:eastAsia="zh-CN"/>
    </w:rPr>
  </w:style>
  <w:style w:type="paragraph" w:styleId="22">
    <w:name w:val="Body Text Indent 2"/>
    <w:basedOn w:val="1"/>
    <w:qFormat/>
    <w:uiPriority w:val="0"/>
    <w:pPr>
      <w:spacing w:after="120" w:line="480" w:lineRule="auto"/>
      <w:ind w:left="420" w:leftChars="200"/>
    </w:pPr>
    <w:rPr>
      <w:rFonts w:ascii="宋体" w:hAnsi="宋体" w:cs="宋体"/>
      <w:b/>
      <w:bCs/>
      <w:kern w:val="2"/>
      <w:sz w:val="24"/>
      <w:szCs w:val="28"/>
      <w:lang w:eastAsia="zh-CN"/>
    </w:rPr>
  </w:style>
  <w:style w:type="paragraph" w:styleId="23">
    <w:name w:val="endnote text"/>
    <w:basedOn w:val="1"/>
    <w:link w:val="169"/>
    <w:qFormat/>
    <w:uiPriority w:val="0"/>
    <w:pPr>
      <w:snapToGrid w:val="0"/>
    </w:pPr>
    <w:rPr>
      <w:sz w:val="20"/>
      <w:szCs w:val="24"/>
      <w:lang w:bidi="ar-SA"/>
    </w:rPr>
  </w:style>
  <w:style w:type="paragraph" w:styleId="24">
    <w:name w:val="Balloon Text"/>
    <w:basedOn w:val="1"/>
    <w:link w:val="81"/>
    <w:qFormat/>
    <w:uiPriority w:val="0"/>
    <w:rPr>
      <w:kern w:val="2"/>
      <w:sz w:val="18"/>
      <w:szCs w:val="18"/>
      <w:lang w:eastAsia="zh-CN" w:bidi="ar-SA"/>
    </w:rPr>
  </w:style>
  <w:style w:type="paragraph" w:styleId="25">
    <w:name w:val="footer"/>
    <w:basedOn w:val="1"/>
    <w:link w:val="141"/>
    <w:qFormat/>
    <w:uiPriority w:val="0"/>
    <w:pPr>
      <w:tabs>
        <w:tab w:val="center" w:pos="4153"/>
        <w:tab w:val="right" w:pos="8306"/>
      </w:tabs>
      <w:snapToGrid w:val="0"/>
    </w:pPr>
    <w:rPr>
      <w:kern w:val="2"/>
      <w:sz w:val="18"/>
      <w:szCs w:val="28"/>
      <w:lang w:eastAsia="zh-CN" w:bidi="ar-SA"/>
    </w:rPr>
  </w:style>
  <w:style w:type="paragraph" w:styleId="26">
    <w:name w:val="header"/>
    <w:basedOn w:val="1"/>
    <w:link w:val="130"/>
    <w:qFormat/>
    <w:uiPriority w:val="0"/>
    <w:pPr>
      <w:pBdr>
        <w:bottom w:val="single" w:color="auto" w:sz="6" w:space="1"/>
      </w:pBdr>
      <w:tabs>
        <w:tab w:val="center" w:pos="4153"/>
        <w:tab w:val="right" w:pos="8306"/>
      </w:tabs>
      <w:snapToGrid w:val="0"/>
      <w:jc w:val="center"/>
    </w:pPr>
    <w:rPr>
      <w:kern w:val="2"/>
      <w:sz w:val="18"/>
      <w:szCs w:val="18"/>
      <w:lang w:eastAsia="zh-CN" w:bidi="ar-SA"/>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Subtitle"/>
    <w:basedOn w:val="1"/>
    <w:next w:val="1"/>
    <w:link w:val="162"/>
    <w:qFormat/>
    <w:uiPriority w:val="11"/>
    <w:rPr>
      <w:rFonts w:ascii="Cambria" w:hAnsi="Cambria"/>
      <w:i/>
      <w:iCs/>
      <w:color w:val="4F81BD"/>
      <w:spacing w:val="15"/>
      <w:sz w:val="24"/>
      <w:szCs w:val="24"/>
      <w:lang w:bidi="ar-SA"/>
    </w:rPr>
  </w:style>
  <w:style w:type="paragraph" w:styleId="30">
    <w:name w:val="footnote text"/>
    <w:basedOn w:val="1"/>
    <w:link w:val="124"/>
    <w:qFormat/>
    <w:uiPriority w:val="0"/>
    <w:pPr>
      <w:snapToGrid w:val="0"/>
    </w:pPr>
    <w:rPr>
      <w:kern w:val="2"/>
      <w:sz w:val="18"/>
      <w:szCs w:val="18"/>
      <w:lang w:bidi="ar-SA"/>
    </w:rPr>
  </w:style>
  <w:style w:type="paragraph" w:styleId="31">
    <w:name w:val="toc 6"/>
    <w:basedOn w:val="1"/>
    <w:next w:val="1"/>
    <w:qFormat/>
    <w:uiPriority w:val="0"/>
    <w:pPr>
      <w:ind w:left="2100" w:leftChars="1000"/>
    </w:pPr>
  </w:style>
  <w:style w:type="paragraph" w:styleId="32">
    <w:name w:val="Body Text Indent 3"/>
    <w:basedOn w:val="1"/>
    <w:qFormat/>
    <w:uiPriority w:val="0"/>
    <w:pPr>
      <w:spacing w:after="120"/>
      <w:ind w:left="420" w:leftChars="200"/>
    </w:pPr>
    <w:rPr>
      <w:kern w:val="2"/>
      <w:sz w:val="21"/>
      <w:szCs w:val="21"/>
      <w:lang w:eastAsia="zh-CN"/>
    </w:rPr>
  </w:style>
  <w:style w:type="paragraph" w:styleId="33">
    <w:name w:val="toc 2"/>
    <w:basedOn w:val="1"/>
    <w:next w:val="1"/>
    <w:qFormat/>
    <w:uiPriority w:val="39"/>
    <w:pPr>
      <w:ind w:left="420" w:leftChars="200"/>
    </w:pPr>
  </w:style>
  <w:style w:type="paragraph" w:styleId="34">
    <w:name w:val="toc 9"/>
    <w:basedOn w:val="1"/>
    <w:next w:val="1"/>
    <w:qFormat/>
    <w:uiPriority w:val="0"/>
    <w:pPr>
      <w:ind w:left="3360" w:leftChars="1600"/>
    </w:pPr>
  </w:style>
  <w:style w:type="paragraph" w:styleId="35">
    <w:name w:val="Title"/>
    <w:basedOn w:val="1"/>
    <w:next w:val="1"/>
    <w:link w:val="135"/>
    <w:qFormat/>
    <w:uiPriority w:val="10"/>
    <w:pPr>
      <w:pBdr>
        <w:bottom w:val="single" w:color="4F81BD" w:sz="8" w:space="4"/>
      </w:pBdr>
      <w:spacing w:after="300" w:line="240" w:lineRule="auto"/>
      <w:contextualSpacing/>
    </w:pPr>
    <w:rPr>
      <w:rFonts w:ascii="Cambria" w:hAnsi="Cambria"/>
      <w:color w:val="17365D"/>
      <w:spacing w:val="5"/>
      <w:kern w:val="28"/>
      <w:sz w:val="52"/>
      <w:szCs w:val="52"/>
      <w:lang w:bidi="ar-SA"/>
    </w:rPr>
  </w:style>
  <w:style w:type="paragraph" w:styleId="36">
    <w:name w:val="annotation subject"/>
    <w:basedOn w:val="15"/>
    <w:next w:val="15"/>
    <w:qFormat/>
    <w:uiPriority w:val="0"/>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yperlink"/>
    <w:qFormat/>
    <w:uiPriority w:val="99"/>
    <w:rPr>
      <w:rFonts w:cs="Times New Roman"/>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character" w:customStyle="1" w:styleId="46">
    <w:name w:val="信息标题 Char"/>
    <w:link w:val="47"/>
    <w:qFormat/>
    <w:uiPriority w:val="0"/>
    <w:rPr>
      <w:rFonts w:ascii="Arial" w:hAnsi="Arial" w:cs="Arial"/>
      <w:sz w:val="24"/>
      <w:szCs w:val="24"/>
      <w:shd w:val="pct20" w:color="auto" w:fill="auto"/>
    </w:rPr>
  </w:style>
  <w:style w:type="paragraph" w:customStyle="1" w:styleId="47">
    <w:name w:val="信息标题1"/>
    <w:basedOn w:val="1"/>
    <w:link w:val="4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shd w:val="pct20" w:color="auto" w:fill="auto"/>
      <w:lang w:bidi="ar-SA"/>
    </w:rPr>
  </w:style>
  <w:style w:type="character" w:customStyle="1" w:styleId="48">
    <w:name w:val="HTML 地址 Char"/>
    <w:link w:val="49"/>
    <w:qFormat/>
    <w:uiPriority w:val="0"/>
    <w:rPr>
      <w:i/>
      <w:iCs/>
      <w:szCs w:val="24"/>
    </w:rPr>
  </w:style>
  <w:style w:type="paragraph" w:customStyle="1" w:styleId="49">
    <w:name w:val="HTML 地址1"/>
    <w:basedOn w:val="1"/>
    <w:link w:val="48"/>
    <w:qFormat/>
    <w:uiPriority w:val="0"/>
    <w:rPr>
      <w:i/>
      <w:iCs/>
      <w:sz w:val="20"/>
      <w:szCs w:val="24"/>
      <w:lang w:bidi="ar-SA"/>
    </w:rPr>
  </w:style>
  <w:style w:type="character" w:customStyle="1" w:styleId="50">
    <w:name w:val="正文文本缩进 Char"/>
    <w:link w:val="51"/>
    <w:qFormat/>
    <w:uiPriority w:val="0"/>
    <w:rPr>
      <w:kern w:val="2"/>
      <w:sz w:val="21"/>
    </w:rPr>
  </w:style>
  <w:style w:type="paragraph" w:customStyle="1" w:styleId="51">
    <w:name w:val="正文文本缩进2"/>
    <w:basedOn w:val="1"/>
    <w:link w:val="50"/>
    <w:qFormat/>
    <w:uiPriority w:val="0"/>
    <w:pPr>
      <w:spacing w:line="360" w:lineRule="auto"/>
      <w:ind w:firstLine="480" w:firstLineChars="200"/>
    </w:pPr>
    <w:rPr>
      <w:kern w:val="2"/>
      <w:sz w:val="21"/>
      <w:szCs w:val="20"/>
      <w:lang w:bidi="ar-SA"/>
    </w:rPr>
  </w:style>
  <w:style w:type="character" w:customStyle="1" w:styleId="52">
    <w:name w:val="HTML 预设格式 Char"/>
    <w:link w:val="53"/>
    <w:qFormat/>
    <w:uiPriority w:val="0"/>
    <w:rPr>
      <w:rFonts w:ascii="Courier New" w:hAnsi="Courier New" w:cs="Courier New"/>
    </w:rPr>
  </w:style>
  <w:style w:type="paragraph" w:customStyle="1" w:styleId="53">
    <w:name w:val="HTML 预设格式1"/>
    <w:basedOn w:val="1"/>
    <w:link w:val="52"/>
    <w:qFormat/>
    <w:uiPriority w:val="0"/>
    <w:rPr>
      <w:rFonts w:ascii="Courier New" w:hAnsi="Courier New"/>
      <w:sz w:val="20"/>
      <w:szCs w:val="20"/>
      <w:lang w:bidi="ar-SA"/>
    </w:rPr>
  </w:style>
  <w:style w:type="character" w:customStyle="1" w:styleId="54">
    <w:name w:val="结束语 Char"/>
    <w:link w:val="55"/>
    <w:qFormat/>
    <w:uiPriority w:val="0"/>
    <w:rPr>
      <w:szCs w:val="24"/>
    </w:rPr>
  </w:style>
  <w:style w:type="paragraph" w:customStyle="1" w:styleId="55">
    <w:name w:val="结束语1"/>
    <w:basedOn w:val="1"/>
    <w:link w:val="54"/>
    <w:qFormat/>
    <w:uiPriority w:val="0"/>
    <w:pPr>
      <w:ind w:left="100" w:leftChars="2100"/>
    </w:pPr>
    <w:rPr>
      <w:sz w:val="20"/>
      <w:szCs w:val="24"/>
      <w:lang w:bidi="ar-SA"/>
    </w:rPr>
  </w:style>
  <w:style w:type="character" w:customStyle="1" w:styleId="56">
    <w:name w:val="称呼 Char"/>
    <w:link w:val="57"/>
    <w:qFormat/>
    <w:uiPriority w:val="0"/>
    <w:rPr>
      <w:kern w:val="2"/>
      <w:sz w:val="28"/>
    </w:rPr>
  </w:style>
  <w:style w:type="paragraph" w:customStyle="1" w:styleId="57">
    <w:name w:val="称呼2"/>
    <w:basedOn w:val="1"/>
    <w:next w:val="1"/>
    <w:link w:val="56"/>
    <w:qFormat/>
    <w:uiPriority w:val="0"/>
    <w:rPr>
      <w:kern w:val="2"/>
      <w:sz w:val="28"/>
      <w:szCs w:val="20"/>
      <w:lang w:bidi="ar-SA"/>
    </w:rPr>
  </w:style>
  <w:style w:type="character" w:customStyle="1" w:styleId="58">
    <w:name w:val="纯文本 Char"/>
    <w:link w:val="59"/>
    <w:qFormat/>
    <w:uiPriority w:val="0"/>
    <w:rPr>
      <w:rFonts w:ascii="宋体" w:hAnsi="宋体" w:eastAsia="宋体" w:cs="宋体"/>
      <w:kern w:val="2"/>
      <w:sz w:val="21"/>
      <w:szCs w:val="28"/>
      <w:lang w:val="en-US" w:eastAsia="zh-CN"/>
    </w:rPr>
  </w:style>
  <w:style w:type="paragraph" w:customStyle="1" w:styleId="59">
    <w:name w:val="纯文本1"/>
    <w:basedOn w:val="1"/>
    <w:link w:val="58"/>
    <w:qFormat/>
    <w:uiPriority w:val="0"/>
    <w:rPr>
      <w:rFonts w:ascii="宋体" w:hAnsi="宋体"/>
      <w:kern w:val="2"/>
      <w:sz w:val="21"/>
      <w:szCs w:val="28"/>
      <w:lang w:eastAsia="zh-CN" w:bidi="ar-SA"/>
    </w:rPr>
  </w:style>
  <w:style w:type="character" w:customStyle="1" w:styleId="60">
    <w:name w:val="正文缩进 Char"/>
    <w:link w:val="61"/>
    <w:qFormat/>
    <w:uiPriority w:val="0"/>
    <w:rPr>
      <w:rFonts w:ascii="Calibri" w:hAnsi="Calibri" w:eastAsia="宋体" w:cs="Times New Roman"/>
      <w:kern w:val="2"/>
      <w:sz w:val="21"/>
      <w:szCs w:val="22"/>
    </w:rPr>
  </w:style>
  <w:style w:type="paragraph" w:customStyle="1" w:styleId="61">
    <w:name w:val="正文缩进1"/>
    <w:basedOn w:val="1"/>
    <w:link w:val="60"/>
    <w:qFormat/>
    <w:uiPriority w:val="0"/>
    <w:pPr>
      <w:ind w:firstLine="420"/>
    </w:pPr>
    <w:rPr>
      <w:kern w:val="2"/>
      <w:sz w:val="21"/>
      <w:lang w:bidi="ar-SA"/>
    </w:rPr>
  </w:style>
  <w:style w:type="character" w:customStyle="1" w:styleId="62">
    <w:name w:val="正文文本 3 Char"/>
    <w:link w:val="63"/>
    <w:qFormat/>
    <w:uiPriority w:val="0"/>
    <w:rPr>
      <w:rFonts w:ascii="宋体" w:hAnsi="宋体"/>
      <w:b/>
      <w:bCs/>
      <w:i/>
      <w:iCs/>
      <w:kern w:val="2"/>
      <w:sz w:val="24"/>
      <w:szCs w:val="24"/>
      <w:u w:val="single"/>
    </w:rPr>
  </w:style>
  <w:style w:type="paragraph" w:customStyle="1" w:styleId="63">
    <w:name w:val="正文文本 31"/>
    <w:basedOn w:val="1"/>
    <w:link w:val="62"/>
    <w:qFormat/>
    <w:uiPriority w:val="0"/>
    <w:rPr>
      <w:rFonts w:ascii="宋体" w:hAnsi="宋体"/>
      <w:b/>
      <w:bCs/>
      <w:i/>
      <w:iCs/>
      <w:kern w:val="2"/>
      <w:sz w:val="24"/>
      <w:szCs w:val="24"/>
      <w:u w:val="single"/>
      <w:lang w:bidi="ar-SA"/>
    </w:rPr>
  </w:style>
  <w:style w:type="character" w:customStyle="1" w:styleId="64">
    <w:name w:val="电子邮件签名 Char"/>
    <w:link w:val="65"/>
    <w:qFormat/>
    <w:uiPriority w:val="0"/>
    <w:rPr>
      <w:kern w:val="2"/>
      <w:sz w:val="21"/>
      <w:szCs w:val="21"/>
    </w:rPr>
  </w:style>
  <w:style w:type="paragraph" w:customStyle="1" w:styleId="65">
    <w:name w:val="电子邮件签名1"/>
    <w:basedOn w:val="1"/>
    <w:link w:val="64"/>
    <w:qFormat/>
    <w:uiPriority w:val="0"/>
    <w:pPr>
      <w:numPr>
        <w:ilvl w:val="0"/>
        <w:numId w:val="1"/>
      </w:numPr>
      <w:ind w:left="0" w:firstLine="0"/>
    </w:pPr>
    <w:rPr>
      <w:kern w:val="2"/>
      <w:sz w:val="21"/>
      <w:szCs w:val="21"/>
      <w:lang w:bidi="ar-SA"/>
    </w:rPr>
  </w:style>
  <w:style w:type="character" w:customStyle="1" w:styleId="66">
    <w:name w:val="签名 Char"/>
    <w:link w:val="67"/>
    <w:qFormat/>
    <w:uiPriority w:val="0"/>
    <w:rPr>
      <w:rFonts w:ascii="宋体" w:hAnsi="宋体"/>
      <w:kern w:val="2"/>
      <w:sz w:val="24"/>
      <w:szCs w:val="18"/>
    </w:rPr>
  </w:style>
  <w:style w:type="paragraph" w:customStyle="1" w:styleId="67">
    <w:name w:val="签名1"/>
    <w:basedOn w:val="1"/>
    <w:link w:val="66"/>
    <w:qFormat/>
    <w:uiPriority w:val="0"/>
    <w:pPr>
      <w:spacing w:line="400" w:lineRule="exact"/>
      <w:ind w:left="100" w:leftChars="2100" w:firstLine="108"/>
    </w:pPr>
    <w:rPr>
      <w:rFonts w:ascii="宋体" w:hAnsi="宋体"/>
      <w:kern w:val="2"/>
      <w:sz w:val="24"/>
      <w:szCs w:val="18"/>
      <w:lang w:bidi="ar-SA"/>
    </w:rPr>
  </w:style>
  <w:style w:type="character" w:customStyle="1" w:styleId="68">
    <w:name w:val="正文文本 2 Char"/>
    <w:link w:val="69"/>
    <w:qFormat/>
    <w:uiPriority w:val="0"/>
    <w:rPr>
      <w:rFonts w:ascii="Futura Hv" w:hAnsi="Futura Hv"/>
      <w:color w:val="000000"/>
      <w:kern w:val="2"/>
      <w:sz w:val="48"/>
      <w:szCs w:val="64"/>
    </w:rPr>
  </w:style>
  <w:style w:type="paragraph" w:customStyle="1" w:styleId="69">
    <w:name w:val="正文文本 21"/>
    <w:basedOn w:val="1"/>
    <w:link w:val="68"/>
    <w:qFormat/>
    <w:uiPriority w:val="0"/>
    <w:pPr>
      <w:autoSpaceDE w:val="0"/>
      <w:autoSpaceDN w:val="0"/>
      <w:adjustRightInd w:val="0"/>
      <w:jc w:val="center"/>
    </w:pPr>
    <w:rPr>
      <w:rFonts w:ascii="Futura Hv" w:hAnsi="Futura Hv"/>
      <w:color w:val="000000"/>
      <w:kern w:val="2"/>
      <w:sz w:val="48"/>
      <w:szCs w:val="64"/>
      <w:lang w:bidi="ar-SA"/>
    </w:rPr>
  </w:style>
  <w:style w:type="character" w:customStyle="1" w:styleId="70">
    <w:name w:val="宏文本 Char"/>
    <w:link w:val="71"/>
    <w:qFormat/>
    <w:uiPriority w:val="0"/>
    <w:rPr>
      <w:rFonts w:ascii="Courier New" w:hAnsi="Courier New" w:cs="Courier New"/>
      <w:kern w:val="2"/>
      <w:sz w:val="24"/>
      <w:szCs w:val="24"/>
      <w:lang w:val="en-US" w:eastAsia="zh-CN" w:bidi="ar-SA"/>
    </w:rPr>
  </w:style>
  <w:style w:type="paragraph" w:customStyle="1" w:styleId="71">
    <w:name w:val="宏文本1"/>
    <w:link w:val="7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Courier New"/>
      <w:kern w:val="2"/>
      <w:sz w:val="24"/>
      <w:szCs w:val="24"/>
      <w:lang w:val="en-US" w:eastAsia="zh-CN" w:bidi="ar-SA"/>
    </w:rPr>
  </w:style>
  <w:style w:type="character" w:customStyle="1" w:styleId="72">
    <w:name w:val="注释标题 Char"/>
    <w:link w:val="73"/>
    <w:qFormat/>
    <w:uiPriority w:val="0"/>
    <w:rPr>
      <w:kern w:val="2"/>
      <w:sz w:val="21"/>
      <w:szCs w:val="21"/>
    </w:rPr>
  </w:style>
  <w:style w:type="paragraph" w:customStyle="1" w:styleId="73">
    <w:name w:val="注释标题1"/>
    <w:basedOn w:val="1"/>
    <w:next w:val="1"/>
    <w:link w:val="72"/>
    <w:qFormat/>
    <w:uiPriority w:val="0"/>
    <w:pPr>
      <w:numPr>
        <w:ilvl w:val="0"/>
        <w:numId w:val="2"/>
      </w:numPr>
      <w:ind w:left="0" w:firstLine="0"/>
      <w:jc w:val="center"/>
    </w:pPr>
    <w:rPr>
      <w:kern w:val="2"/>
      <w:sz w:val="21"/>
      <w:szCs w:val="21"/>
      <w:lang w:bidi="ar-SA"/>
    </w:rPr>
  </w:style>
  <w:style w:type="character" w:customStyle="1" w:styleId="74">
    <w:name w:val="文档结构图 Char"/>
    <w:link w:val="75"/>
    <w:qFormat/>
    <w:uiPriority w:val="0"/>
    <w:rPr>
      <w:rFonts w:ascii="宋体"/>
      <w:kern w:val="2"/>
      <w:sz w:val="18"/>
      <w:szCs w:val="18"/>
    </w:rPr>
  </w:style>
  <w:style w:type="paragraph" w:customStyle="1" w:styleId="75">
    <w:name w:val="文档结构图2"/>
    <w:basedOn w:val="1"/>
    <w:link w:val="74"/>
    <w:qFormat/>
    <w:uiPriority w:val="0"/>
    <w:rPr>
      <w:rFonts w:ascii="宋体"/>
      <w:kern w:val="2"/>
      <w:sz w:val="18"/>
      <w:szCs w:val="18"/>
      <w:lang w:bidi="ar-SA"/>
    </w:rPr>
  </w:style>
  <w:style w:type="character" w:customStyle="1" w:styleId="76">
    <w:name w:val="正文首行缩进 2 Char"/>
    <w:link w:val="77"/>
    <w:qFormat/>
    <w:uiPriority w:val="0"/>
    <w:rPr>
      <w:rFonts w:ascii="Garamond" w:hAnsi="Garamond"/>
      <w:color w:val="000000"/>
      <w:kern w:val="18"/>
      <w:sz w:val="21"/>
    </w:rPr>
  </w:style>
  <w:style w:type="paragraph" w:customStyle="1" w:styleId="77">
    <w:name w:val="正文首行缩进 21"/>
    <w:basedOn w:val="61"/>
    <w:link w:val="76"/>
    <w:qFormat/>
    <w:uiPriority w:val="0"/>
    <w:pPr>
      <w:tabs>
        <w:tab w:val="left" w:pos="0"/>
      </w:tabs>
      <w:overflowPunct w:val="0"/>
      <w:topLinePunct/>
      <w:autoSpaceDE w:val="0"/>
      <w:autoSpaceDN w:val="0"/>
      <w:adjustRightInd w:val="0"/>
      <w:spacing w:before="40" w:after="40" w:line="440" w:lineRule="exact"/>
      <w:ind w:left="360" w:right="62" w:firstLine="0"/>
      <w:textAlignment w:val="baseline"/>
    </w:pPr>
    <w:rPr>
      <w:rFonts w:ascii="Garamond" w:hAnsi="Garamond"/>
      <w:color w:val="000000"/>
      <w:kern w:val="18"/>
      <w:szCs w:val="20"/>
    </w:rPr>
  </w:style>
  <w:style w:type="character" w:customStyle="1" w:styleId="78">
    <w:name w:val="正文首行缩进 Char"/>
    <w:link w:val="79"/>
    <w:qFormat/>
    <w:uiPriority w:val="0"/>
    <w:rPr>
      <w:rFonts w:eastAsia="宋体"/>
      <w:kern w:val="2"/>
      <w:sz w:val="22"/>
      <w:szCs w:val="28"/>
      <w:lang w:val="en-US" w:eastAsia="zh-CN"/>
    </w:rPr>
  </w:style>
  <w:style w:type="paragraph" w:customStyle="1" w:styleId="79">
    <w:name w:val="正文首行缩进1"/>
    <w:basedOn w:val="1"/>
    <w:link w:val="78"/>
    <w:qFormat/>
    <w:uiPriority w:val="0"/>
    <w:pPr>
      <w:autoSpaceDE w:val="0"/>
      <w:autoSpaceDN w:val="0"/>
      <w:spacing w:after="60" w:line="400" w:lineRule="exact"/>
      <w:ind w:firstLine="476"/>
    </w:pPr>
    <w:rPr>
      <w:kern w:val="2"/>
      <w:szCs w:val="28"/>
      <w:lang w:eastAsia="zh-CN" w:bidi="ar-SA"/>
    </w:rPr>
  </w:style>
  <w:style w:type="character" w:customStyle="1" w:styleId="80">
    <w:name w:val="h31"/>
    <w:qFormat/>
    <w:uiPriority w:val="0"/>
    <w:rPr>
      <w:sz w:val="28"/>
      <w:szCs w:val="28"/>
    </w:rPr>
  </w:style>
  <w:style w:type="character" w:customStyle="1" w:styleId="81">
    <w:name w:val="批注框文本 字符"/>
    <w:link w:val="24"/>
    <w:qFormat/>
    <w:uiPriority w:val="0"/>
    <w:rPr>
      <w:rFonts w:eastAsia="宋体"/>
      <w:kern w:val="2"/>
      <w:sz w:val="18"/>
      <w:szCs w:val="18"/>
      <w:lang w:val="en-US" w:eastAsia="zh-CN"/>
    </w:rPr>
  </w:style>
  <w:style w:type="character" w:customStyle="1" w:styleId="82">
    <w:name w:val="标题 2 字符"/>
    <w:link w:val="4"/>
    <w:qFormat/>
    <w:uiPriority w:val="9"/>
    <w:rPr>
      <w:rFonts w:ascii="Cambria" w:hAnsi="Cambria" w:eastAsia="宋体" w:cs="Times New Roman"/>
      <w:b/>
      <w:bCs/>
      <w:color w:val="4F81BD"/>
      <w:sz w:val="26"/>
      <w:szCs w:val="26"/>
    </w:rPr>
  </w:style>
  <w:style w:type="character" w:customStyle="1" w:styleId="83">
    <w:name w:val="日期 字符"/>
    <w:link w:val="84"/>
    <w:qFormat/>
    <w:uiPriority w:val="0"/>
    <w:rPr>
      <w:rFonts w:eastAsia="宋体"/>
      <w:kern w:val="2"/>
      <w:sz w:val="21"/>
      <w:szCs w:val="28"/>
      <w:lang w:val="en-US" w:eastAsia="zh-CN"/>
    </w:rPr>
  </w:style>
  <w:style w:type="paragraph" w:customStyle="1" w:styleId="84">
    <w:name w:val="日期1"/>
    <w:basedOn w:val="1"/>
    <w:next w:val="1"/>
    <w:link w:val="83"/>
    <w:qFormat/>
    <w:uiPriority w:val="0"/>
    <w:rPr>
      <w:kern w:val="2"/>
      <w:sz w:val="21"/>
      <w:szCs w:val="28"/>
      <w:lang w:eastAsia="zh-CN" w:bidi="ar-SA"/>
    </w:rPr>
  </w:style>
  <w:style w:type="character" w:customStyle="1" w:styleId="85">
    <w:name w:val="标题 8 字符"/>
    <w:link w:val="10"/>
    <w:qFormat/>
    <w:uiPriority w:val="9"/>
    <w:rPr>
      <w:rFonts w:ascii="Cambria" w:hAnsi="Cambria" w:eastAsia="宋体" w:cs="Times New Roman"/>
      <w:color w:val="4F81BD"/>
      <w:sz w:val="20"/>
      <w:szCs w:val="20"/>
    </w:rPr>
  </w:style>
  <w:style w:type="character" w:customStyle="1" w:styleId="86">
    <w:name w:val="smgraytext1"/>
    <w:qFormat/>
    <w:uiPriority w:val="0"/>
    <w:rPr>
      <w:color w:val="666666"/>
    </w:rPr>
  </w:style>
  <w:style w:type="character" w:customStyle="1" w:styleId="87">
    <w:name w:val="HTML 预设格式 Char1"/>
    <w:qFormat/>
    <w:uiPriority w:val="0"/>
    <w:rPr>
      <w:rFonts w:ascii="Courier New" w:hAnsi="Courier New" w:cs="Courier New"/>
      <w:kern w:val="2"/>
    </w:rPr>
  </w:style>
  <w:style w:type="character" w:customStyle="1" w:styleId="88">
    <w:name w:val="正文（首行缩进两字） Char1"/>
    <w:qFormat/>
    <w:uiPriority w:val="0"/>
    <w:rPr>
      <w:rFonts w:ascii="宋体" w:hAnsi="宋体" w:eastAsia="宋体"/>
      <w:sz w:val="24"/>
      <w:szCs w:val="24"/>
      <w:lang w:val="en-US" w:eastAsia="zh-CN"/>
    </w:rPr>
  </w:style>
  <w:style w:type="character" w:customStyle="1" w:styleId="89">
    <w:name w:val="javascript"/>
    <w:basedOn w:val="39"/>
    <w:qFormat/>
    <w:uiPriority w:val="0"/>
  </w:style>
  <w:style w:type="character" w:customStyle="1" w:styleId="90">
    <w:name w:val="ibm-item-note"/>
    <w:basedOn w:val="39"/>
    <w:qFormat/>
    <w:uiPriority w:val="0"/>
  </w:style>
  <w:style w:type="character" w:customStyle="1" w:styleId="91">
    <w:name w:val="信息标题 Char1"/>
    <w:qFormat/>
    <w:uiPriority w:val="0"/>
    <w:rPr>
      <w:rFonts w:ascii="Cambria" w:hAnsi="Cambria" w:eastAsia="宋体" w:cs="Times New Roman"/>
      <w:kern w:val="2"/>
      <w:sz w:val="24"/>
      <w:szCs w:val="24"/>
      <w:shd w:val="pct20" w:color="auto" w:fill="auto"/>
    </w:rPr>
  </w:style>
  <w:style w:type="character" w:customStyle="1" w:styleId="92">
    <w:name w:val="标题 2 Char1"/>
    <w:qFormat/>
    <w:uiPriority w:val="0"/>
    <w:rPr>
      <w:rFonts w:ascii="Arial" w:hAnsi="Arial" w:eastAsia="黑体"/>
      <w:b/>
      <w:bCs/>
      <w:sz w:val="30"/>
      <w:szCs w:val="30"/>
    </w:rPr>
  </w:style>
  <w:style w:type="character" w:customStyle="1" w:styleId="93">
    <w:name w:val="正文文本 字符"/>
    <w:link w:val="2"/>
    <w:qFormat/>
    <w:uiPriority w:val="0"/>
    <w:rPr>
      <w:rFonts w:eastAsia="宋体"/>
      <w:kern w:val="2"/>
      <w:sz w:val="24"/>
      <w:szCs w:val="28"/>
      <w:lang w:val="en-US" w:eastAsia="zh-CN"/>
    </w:rPr>
  </w:style>
  <w:style w:type="character" w:customStyle="1" w:styleId="94">
    <w:name w:val="black101"/>
    <w:qFormat/>
    <w:uiPriority w:val="0"/>
    <w:rPr>
      <w:rFonts w:hint="default" w:ascii="Verdana" w:hAnsi="Verdana"/>
      <w:color w:val="000000"/>
      <w:sz w:val="15"/>
      <w:szCs w:val="15"/>
      <w:u w:val="none"/>
    </w:rPr>
  </w:style>
  <w:style w:type="character" w:customStyle="1" w:styleId="95">
    <w:name w:val="greytext1"/>
    <w:qFormat/>
    <w:uiPriority w:val="0"/>
    <w:rPr>
      <w:color w:val="666666"/>
    </w:rPr>
  </w:style>
  <w:style w:type="character" w:customStyle="1" w:styleId="96">
    <w:name w:val="Map Char"/>
    <w:qFormat/>
    <w:uiPriority w:val="0"/>
    <w:rPr>
      <w:rFonts w:ascii="宋体" w:hAnsi="宋体" w:eastAsia="宋体"/>
      <w:b/>
      <w:kern w:val="28"/>
      <w:sz w:val="30"/>
    </w:rPr>
  </w:style>
  <w:style w:type="character" w:customStyle="1" w:styleId="97">
    <w:name w:val="h21"/>
    <w:qFormat/>
    <w:uiPriority w:val="0"/>
    <w:rPr>
      <w:spacing w:val="200"/>
      <w:sz w:val="19"/>
      <w:szCs w:val="19"/>
    </w:rPr>
  </w:style>
  <w:style w:type="character" w:customStyle="1" w:styleId="98">
    <w:name w:val="1char"/>
    <w:basedOn w:val="39"/>
    <w:qFormat/>
    <w:uiPriority w:val="0"/>
  </w:style>
  <w:style w:type="character" w:customStyle="1" w:styleId="99">
    <w:name w:val="HTML 地址 Char1"/>
    <w:qFormat/>
    <w:uiPriority w:val="0"/>
    <w:rPr>
      <w:i/>
      <w:iCs/>
      <w:kern w:val="2"/>
      <w:sz w:val="21"/>
    </w:rPr>
  </w:style>
  <w:style w:type="character" w:customStyle="1" w:styleId="100">
    <w:name w:val="注释标题 Char1"/>
    <w:qFormat/>
    <w:uiPriority w:val="0"/>
    <w:rPr>
      <w:kern w:val="2"/>
      <w:sz w:val="21"/>
    </w:rPr>
  </w:style>
  <w:style w:type="character" w:customStyle="1" w:styleId="101">
    <w:name w:val="正文文本缩进 2 字符"/>
    <w:link w:val="102"/>
    <w:qFormat/>
    <w:uiPriority w:val="0"/>
    <w:rPr>
      <w:rFonts w:ascii="宋体" w:hAnsi="宋体" w:eastAsia="宋体" w:cs="宋体"/>
      <w:b/>
      <w:bCs/>
      <w:kern w:val="2"/>
      <w:sz w:val="24"/>
      <w:szCs w:val="28"/>
      <w:lang w:val="en-US" w:eastAsia="zh-CN"/>
    </w:rPr>
  </w:style>
  <w:style w:type="paragraph" w:customStyle="1" w:styleId="102">
    <w:name w:val="正文文本缩进 21"/>
    <w:basedOn w:val="1"/>
    <w:link w:val="101"/>
    <w:qFormat/>
    <w:uiPriority w:val="0"/>
    <w:pPr>
      <w:adjustRightInd w:val="0"/>
      <w:spacing w:line="360" w:lineRule="auto"/>
      <w:ind w:firstLine="175" w:firstLineChars="175"/>
    </w:pPr>
    <w:rPr>
      <w:rFonts w:ascii="宋体" w:hAnsi="宋体"/>
      <w:b/>
      <w:bCs/>
      <w:kern w:val="2"/>
      <w:sz w:val="24"/>
      <w:szCs w:val="28"/>
      <w:lang w:eastAsia="zh-CN" w:bidi="ar-SA"/>
    </w:rPr>
  </w:style>
  <w:style w:type="character" w:customStyle="1" w:styleId="103">
    <w:name w:val="my-style1"/>
    <w:qFormat/>
    <w:uiPriority w:val="0"/>
    <w:rPr>
      <w:color w:val="000000"/>
      <w:sz w:val="20"/>
      <w:szCs w:val="20"/>
    </w:rPr>
  </w:style>
  <w:style w:type="character" w:customStyle="1" w:styleId="104">
    <w:name w:val="尾注文本 Char1"/>
    <w:qFormat/>
    <w:uiPriority w:val="0"/>
    <w:rPr>
      <w:kern w:val="2"/>
      <w:sz w:val="21"/>
    </w:rPr>
  </w:style>
  <w:style w:type="character" w:customStyle="1" w:styleId="105">
    <w:name w:val="EmailStyle357"/>
    <w:qFormat/>
    <w:uiPriority w:val="0"/>
    <w:rPr>
      <w:rFonts w:ascii="Arial" w:hAnsi="Arial" w:eastAsia="宋体" w:cs="Arial"/>
      <w:color w:val="auto"/>
      <w:sz w:val="18"/>
      <w:szCs w:val="20"/>
    </w:rPr>
  </w:style>
  <w:style w:type="character" w:customStyle="1" w:styleId="106">
    <w:name w:val="标题 1 字符"/>
    <w:link w:val="3"/>
    <w:qFormat/>
    <w:uiPriority w:val="9"/>
    <w:rPr>
      <w:rFonts w:ascii="Cambria" w:hAnsi="Cambria" w:eastAsia="宋体" w:cs="Times New Roman"/>
      <w:b/>
      <w:bCs/>
      <w:color w:val="365F91"/>
      <w:sz w:val="28"/>
      <w:szCs w:val="28"/>
    </w:rPr>
  </w:style>
  <w:style w:type="character" w:customStyle="1" w:styleId="107">
    <w:name w:val="纯文本 Char1"/>
    <w:link w:val="108"/>
    <w:qFormat/>
    <w:uiPriority w:val="0"/>
    <w:rPr>
      <w:rFonts w:ascii="宋体" w:hAnsi="Courier New" w:cs="Courier New"/>
      <w:kern w:val="2"/>
      <w:sz w:val="21"/>
      <w:szCs w:val="21"/>
    </w:rPr>
  </w:style>
  <w:style w:type="paragraph" w:customStyle="1" w:styleId="108">
    <w:name w:val="纯文本2"/>
    <w:basedOn w:val="1"/>
    <w:link w:val="107"/>
    <w:qFormat/>
    <w:uiPriority w:val="0"/>
    <w:rPr>
      <w:rFonts w:ascii="宋体" w:hAnsi="Courier New"/>
      <w:kern w:val="2"/>
      <w:sz w:val="21"/>
      <w:szCs w:val="21"/>
      <w:lang w:bidi="ar-SA"/>
    </w:rPr>
  </w:style>
  <w:style w:type="character" w:customStyle="1" w:styleId="109">
    <w:name w:val="Char Char14"/>
    <w:qFormat/>
    <w:uiPriority w:val="0"/>
    <w:rPr>
      <w:rFonts w:ascii="Times New Roman" w:hAnsi="Times New Roman" w:eastAsia="宋体" w:cs="Times New Roman"/>
      <w:b/>
      <w:kern w:val="44"/>
      <w:sz w:val="44"/>
    </w:rPr>
  </w:style>
  <w:style w:type="character" w:customStyle="1" w:styleId="110">
    <w:name w:val="标题 6 字符"/>
    <w:link w:val="8"/>
    <w:qFormat/>
    <w:uiPriority w:val="9"/>
    <w:rPr>
      <w:rFonts w:ascii="Cambria" w:hAnsi="Cambria" w:eastAsia="宋体" w:cs="Times New Roman"/>
      <w:i/>
      <w:iCs/>
      <w:color w:val="243F60"/>
    </w:rPr>
  </w:style>
  <w:style w:type="character" w:customStyle="1" w:styleId="111">
    <w:name w:val="正文文本缩进 3 字符"/>
    <w:link w:val="112"/>
    <w:qFormat/>
    <w:uiPriority w:val="0"/>
    <w:rPr>
      <w:rFonts w:eastAsia="宋体"/>
      <w:kern w:val="2"/>
      <w:sz w:val="21"/>
      <w:szCs w:val="21"/>
      <w:lang w:val="en-US" w:eastAsia="zh-CN"/>
    </w:rPr>
  </w:style>
  <w:style w:type="paragraph" w:customStyle="1" w:styleId="112">
    <w:name w:val="正文文本缩进 31"/>
    <w:basedOn w:val="1"/>
    <w:link w:val="111"/>
    <w:qFormat/>
    <w:uiPriority w:val="0"/>
    <w:pPr>
      <w:spacing w:afterLines="50"/>
      <w:ind w:firstLine="200" w:firstLineChars="200"/>
    </w:pPr>
    <w:rPr>
      <w:kern w:val="2"/>
      <w:sz w:val="21"/>
      <w:szCs w:val="21"/>
      <w:lang w:eastAsia="zh-CN" w:bidi="ar-SA"/>
    </w:rPr>
  </w:style>
  <w:style w:type="character" w:customStyle="1" w:styleId="113">
    <w:name w:val="小标题 Char Char"/>
    <w:link w:val="114"/>
    <w:qFormat/>
    <w:uiPriority w:val="0"/>
    <w:rPr>
      <w:b/>
      <w:color w:val="000000"/>
      <w:sz w:val="24"/>
      <w:szCs w:val="24"/>
    </w:rPr>
  </w:style>
  <w:style w:type="paragraph" w:customStyle="1" w:styleId="114">
    <w:name w:val="小标题"/>
    <w:basedOn w:val="1"/>
    <w:next w:val="61"/>
    <w:link w:val="113"/>
    <w:qFormat/>
    <w:uiPriority w:val="0"/>
    <w:pPr>
      <w:numPr>
        <w:ilvl w:val="0"/>
        <w:numId w:val="3"/>
      </w:numPr>
      <w:adjustRightInd w:val="0"/>
      <w:snapToGrid w:val="0"/>
      <w:spacing w:before="60" w:afterLines="50" w:line="360" w:lineRule="auto"/>
    </w:pPr>
    <w:rPr>
      <w:b/>
      <w:color w:val="000000"/>
      <w:sz w:val="24"/>
      <w:szCs w:val="24"/>
      <w:lang w:bidi="ar-SA"/>
    </w:rPr>
  </w:style>
  <w:style w:type="character" w:customStyle="1" w:styleId="115">
    <w:name w:val="批注文字 字符"/>
    <w:link w:val="15"/>
    <w:qFormat/>
    <w:uiPriority w:val="0"/>
    <w:rPr>
      <w:rFonts w:eastAsia="宋体"/>
      <w:kern w:val="2"/>
      <w:sz w:val="21"/>
      <w:szCs w:val="28"/>
      <w:lang w:val="en-US" w:eastAsia="zh-CN"/>
    </w:rPr>
  </w:style>
  <w:style w:type="character" w:customStyle="1" w:styleId="116">
    <w:name w:val="msoins"/>
    <w:qFormat/>
    <w:uiPriority w:val="0"/>
    <w:rPr>
      <w:u w:val="single"/>
    </w:rPr>
  </w:style>
  <w:style w:type="character" w:customStyle="1" w:styleId="117">
    <w:name w:val="标题 4 字符"/>
    <w:link w:val="6"/>
    <w:qFormat/>
    <w:uiPriority w:val="9"/>
    <w:rPr>
      <w:rFonts w:ascii="Cambria" w:hAnsi="Cambria" w:eastAsia="宋体" w:cs="Times New Roman"/>
      <w:b/>
      <w:bCs/>
      <w:i/>
      <w:iCs/>
      <w:color w:val="4F81BD"/>
    </w:rPr>
  </w:style>
  <w:style w:type="character" w:customStyle="1" w:styleId="118">
    <w:name w:val="标题 3 字符"/>
    <w:link w:val="5"/>
    <w:qFormat/>
    <w:uiPriority w:val="9"/>
    <w:rPr>
      <w:rFonts w:ascii="Cambria" w:hAnsi="Cambria" w:eastAsia="宋体" w:cs="Times New Roman"/>
      <w:b/>
      <w:bCs/>
      <w:color w:val="4F81BD"/>
    </w:rPr>
  </w:style>
  <w:style w:type="character" w:customStyle="1" w:styleId="119">
    <w:name w:val="批注引用2"/>
    <w:qFormat/>
    <w:uiPriority w:val="0"/>
    <w:rPr>
      <w:sz w:val="21"/>
      <w:szCs w:val="21"/>
    </w:rPr>
  </w:style>
  <w:style w:type="character" w:customStyle="1" w:styleId="120">
    <w:name w:val="text1"/>
    <w:qFormat/>
    <w:uiPriority w:val="0"/>
    <w:rPr>
      <w:color w:val="14265C"/>
      <w:sz w:val="18"/>
      <w:szCs w:val="18"/>
      <w:u w:val="none"/>
    </w:rPr>
  </w:style>
  <w:style w:type="character" w:customStyle="1" w:styleId="121">
    <w:name w:val="small"/>
    <w:basedOn w:val="39"/>
    <w:qFormat/>
    <w:uiPriority w:val="0"/>
  </w:style>
  <w:style w:type="character" w:customStyle="1" w:styleId="122">
    <w:name w:val="p92"/>
    <w:basedOn w:val="39"/>
    <w:qFormat/>
    <w:uiPriority w:val="0"/>
  </w:style>
  <w:style w:type="character" w:customStyle="1" w:styleId="123">
    <w:name w:val="电子邮件签名 Char1"/>
    <w:qFormat/>
    <w:uiPriority w:val="0"/>
    <w:rPr>
      <w:kern w:val="2"/>
      <w:sz w:val="21"/>
    </w:rPr>
  </w:style>
  <w:style w:type="character" w:customStyle="1" w:styleId="124">
    <w:name w:val="脚注文本 字符"/>
    <w:link w:val="30"/>
    <w:qFormat/>
    <w:uiPriority w:val="0"/>
    <w:rPr>
      <w:kern w:val="2"/>
      <w:sz w:val="18"/>
      <w:szCs w:val="18"/>
    </w:rPr>
  </w:style>
  <w:style w:type="character" w:customStyle="1" w:styleId="125">
    <w:name w:val="样式 左侧:  0.74 厘米 行距: 1.5 倍行距 Char Char"/>
    <w:link w:val="126"/>
    <w:qFormat/>
    <w:uiPriority w:val="0"/>
    <w:rPr>
      <w:sz w:val="24"/>
      <w:szCs w:val="24"/>
    </w:rPr>
  </w:style>
  <w:style w:type="paragraph" w:customStyle="1" w:styleId="126">
    <w:name w:val="样式 左侧:  0.74 厘米 行距: 1.5 倍行距"/>
    <w:basedOn w:val="1"/>
    <w:link w:val="125"/>
    <w:qFormat/>
    <w:uiPriority w:val="0"/>
    <w:pPr>
      <w:spacing w:line="360" w:lineRule="auto"/>
      <w:ind w:firstLine="360" w:firstLineChars="150"/>
    </w:pPr>
    <w:rPr>
      <w:sz w:val="24"/>
      <w:szCs w:val="24"/>
      <w:lang w:bidi="ar-SA"/>
    </w:rPr>
  </w:style>
  <w:style w:type="character" w:customStyle="1" w:styleId="127">
    <w:name w:val="z-窗体顶端 Char"/>
    <w:link w:val="128"/>
    <w:qFormat/>
    <w:uiPriority w:val="0"/>
    <w:rPr>
      <w:rFonts w:ascii="Arial" w:hAnsi="Arial" w:cs="Arial"/>
      <w:vanish/>
      <w:sz w:val="16"/>
      <w:szCs w:val="16"/>
    </w:rPr>
  </w:style>
  <w:style w:type="paragraph" w:customStyle="1" w:styleId="128">
    <w:name w:val="z-窗体顶端1"/>
    <w:basedOn w:val="1"/>
    <w:next w:val="1"/>
    <w:link w:val="127"/>
    <w:qFormat/>
    <w:uiPriority w:val="0"/>
    <w:pPr>
      <w:pBdr>
        <w:bottom w:val="single" w:color="auto" w:sz="6" w:space="1"/>
      </w:pBdr>
      <w:jc w:val="center"/>
    </w:pPr>
    <w:rPr>
      <w:rFonts w:ascii="Arial" w:hAnsi="Arial"/>
      <w:vanish/>
      <w:sz w:val="16"/>
      <w:szCs w:val="16"/>
      <w:lang w:bidi="ar-SA"/>
    </w:rPr>
  </w:style>
  <w:style w:type="character" w:customStyle="1" w:styleId="129">
    <w:name w:val="msonormal"/>
    <w:basedOn w:val="39"/>
    <w:qFormat/>
    <w:uiPriority w:val="0"/>
  </w:style>
  <w:style w:type="character" w:customStyle="1" w:styleId="130">
    <w:name w:val="页眉 字符"/>
    <w:link w:val="26"/>
    <w:qFormat/>
    <w:uiPriority w:val="0"/>
    <w:rPr>
      <w:rFonts w:eastAsia="宋体"/>
      <w:kern w:val="2"/>
      <w:sz w:val="18"/>
      <w:szCs w:val="18"/>
      <w:lang w:val="en-US" w:eastAsia="zh-CN"/>
    </w:rPr>
  </w:style>
  <w:style w:type="character" w:customStyle="1" w:styleId="131">
    <w:name w:val="标题 9 字符"/>
    <w:link w:val="11"/>
    <w:qFormat/>
    <w:uiPriority w:val="9"/>
    <w:rPr>
      <w:rFonts w:ascii="Cambria" w:hAnsi="Cambria" w:eastAsia="宋体" w:cs="Times New Roman"/>
      <w:i/>
      <w:iCs/>
      <w:color w:val="404040"/>
      <w:sz w:val="20"/>
      <w:szCs w:val="20"/>
    </w:rPr>
  </w:style>
  <w:style w:type="character" w:customStyle="1" w:styleId="132">
    <w:name w:val="页码1"/>
    <w:qFormat/>
    <w:uiPriority w:val="0"/>
    <w:rPr>
      <w:rFonts w:cs="Times New Roman"/>
    </w:rPr>
  </w:style>
  <w:style w:type="character" w:customStyle="1" w:styleId="133">
    <w:name w:val="z-窗体底端 Char"/>
    <w:link w:val="134"/>
    <w:qFormat/>
    <w:uiPriority w:val="0"/>
    <w:rPr>
      <w:rFonts w:ascii="Arial" w:hAnsi="Arial" w:cs="Arial"/>
      <w:vanish/>
      <w:sz w:val="16"/>
      <w:szCs w:val="16"/>
    </w:rPr>
  </w:style>
  <w:style w:type="paragraph" w:customStyle="1" w:styleId="134">
    <w:name w:val="z-窗体底端1"/>
    <w:basedOn w:val="1"/>
    <w:next w:val="1"/>
    <w:link w:val="133"/>
    <w:qFormat/>
    <w:uiPriority w:val="0"/>
    <w:pPr>
      <w:pBdr>
        <w:top w:val="single" w:color="auto" w:sz="6" w:space="1"/>
      </w:pBdr>
      <w:jc w:val="center"/>
    </w:pPr>
    <w:rPr>
      <w:rFonts w:ascii="Arial" w:hAnsi="Arial"/>
      <w:vanish/>
      <w:sz w:val="16"/>
      <w:szCs w:val="16"/>
      <w:lang w:bidi="ar-SA"/>
    </w:rPr>
  </w:style>
  <w:style w:type="character" w:customStyle="1" w:styleId="135">
    <w:name w:val="标题 字符"/>
    <w:link w:val="35"/>
    <w:qFormat/>
    <w:uiPriority w:val="10"/>
    <w:rPr>
      <w:rFonts w:ascii="Cambria" w:hAnsi="Cambria" w:eastAsia="宋体" w:cs="Times New Roman"/>
      <w:color w:val="17365D"/>
      <w:spacing w:val="5"/>
      <w:kern w:val="28"/>
      <w:sz w:val="52"/>
      <w:szCs w:val="52"/>
    </w:rPr>
  </w:style>
  <w:style w:type="character" w:customStyle="1" w:styleId="136">
    <w:name w:val="正文文本缩进 Char Char"/>
    <w:link w:val="137"/>
    <w:qFormat/>
    <w:uiPriority w:val="0"/>
    <w:rPr>
      <w:rFonts w:eastAsia="宋体"/>
      <w:b/>
      <w:kern w:val="2"/>
      <w:sz w:val="24"/>
      <w:szCs w:val="28"/>
      <w:lang w:val="en-US" w:eastAsia="zh-CN"/>
    </w:rPr>
  </w:style>
  <w:style w:type="paragraph" w:customStyle="1" w:styleId="137">
    <w:name w:val="正文文本缩进1"/>
    <w:basedOn w:val="1"/>
    <w:link w:val="136"/>
    <w:qFormat/>
    <w:uiPriority w:val="0"/>
    <w:pPr>
      <w:ind w:firstLine="444"/>
    </w:pPr>
    <w:rPr>
      <w:b/>
      <w:kern w:val="2"/>
      <w:sz w:val="24"/>
      <w:szCs w:val="28"/>
      <w:lang w:eastAsia="zh-CN" w:bidi="ar-SA"/>
    </w:rPr>
  </w:style>
  <w:style w:type="character" w:customStyle="1" w:styleId="138">
    <w:name w:val="结束语 Char1"/>
    <w:qFormat/>
    <w:uiPriority w:val="0"/>
    <w:rPr>
      <w:kern w:val="2"/>
      <w:sz w:val="21"/>
    </w:rPr>
  </w:style>
  <w:style w:type="character" w:customStyle="1" w:styleId="139">
    <w:name w:val="tw4winMark"/>
    <w:qFormat/>
    <w:uiPriority w:val="0"/>
    <w:rPr>
      <w:rFonts w:ascii="Times New Roman" w:hAnsi="Times New Roman" w:cs="Times New Roman"/>
      <w:vanish/>
      <w:color w:val="800080"/>
      <w:sz w:val="24"/>
      <w:szCs w:val="24"/>
      <w:vertAlign w:val="subscript"/>
    </w:rPr>
  </w:style>
  <w:style w:type="character" w:customStyle="1" w:styleId="140">
    <w:name w:val="标题 7 字符"/>
    <w:link w:val="9"/>
    <w:qFormat/>
    <w:uiPriority w:val="9"/>
    <w:rPr>
      <w:rFonts w:ascii="Cambria" w:hAnsi="Cambria" w:eastAsia="宋体" w:cs="Times New Roman"/>
      <w:i/>
      <w:iCs/>
      <w:color w:val="404040"/>
    </w:rPr>
  </w:style>
  <w:style w:type="character" w:customStyle="1" w:styleId="141">
    <w:name w:val="页脚 字符"/>
    <w:link w:val="25"/>
    <w:qFormat/>
    <w:uiPriority w:val="0"/>
    <w:rPr>
      <w:rFonts w:eastAsia="宋体"/>
      <w:kern w:val="2"/>
      <w:sz w:val="18"/>
      <w:szCs w:val="28"/>
      <w:lang w:val="en-US" w:eastAsia="zh-CN"/>
    </w:rPr>
  </w:style>
  <w:style w:type="character" w:customStyle="1" w:styleId="142">
    <w:name w:val="bold"/>
    <w:basedOn w:val="39"/>
    <w:qFormat/>
    <w:uiPriority w:val="0"/>
  </w:style>
  <w:style w:type="character" w:customStyle="1" w:styleId="143">
    <w:name w:val="样式 首行缩进:  2 字符 Char Char"/>
    <w:qFormat/>
    <w:uiPriority w:val="0"/>
    <w:rPr>
      <w:rFonts w:cs="宋体"/>
      <w:sz w:val="24"/>
      <w:lang w:val="en-US"/>
    </w:rPr>
  </w:style>
  <w:style w:type="character" w:customStyle="1" w:styleId="144">
    <w:name w:val="批注引用1"/>
    <w:qFormat/>
    <w:uiPriority w:val="0"/>
    <w:rPr>
      <w:sz w:val="21"/>
    </w:rPr>
  </w:style>
  <w:style w:type="character" w:customStyle="1" w:styleId="145">
    <w:name w:val="style4"/>
    <w:basedOn w:val="39"/>
    <w:qFormat/>
    <w:uiPriority w:val="0"/>
  </w:style>
  <w:style w:type="character" w:customStyle="1" w:styleId="146">
    <w:name w:val="wenben21"/>
    <w:qFormat/>
    <w:uiPriority w:val="0"/>
    <w:rPr>
      <w:rFonts w:hint="default"/>
      <w:color w:val="003399"/>
      <w:sz w:val="21"/>
      <w:szCs w:val="21"/>
    </w:rPr>
  </w:style>
  <w:style w:type="character" w:customStyle="1" w:styleId="147">
    <w:name w:val="表格非标题文字 Char Char"/>
    <w:link w:val="148"/>
    <w:qFormat/>
    <w:uiPriority w:val="0"/>
    <w:rPr>
      <w:rFonts w:ascii="Futura Bk" w:hAnsi="Futura Bk"/>
      <w:kern w:val="2"/>
      <w:sz w:val="18"/>
      <w:szCs w:val="21"/>
      <w:lang w:val="en-US" w:eastAsia="zh-CN" w:bidi="ar-SA"/>
    </w:rPr>
  </w:style>
  <w:style w:type="paragraph" w:customStyle="1" w:styleId="148">
    <w:name w:val="表格非标题文字"/>
    <w:link w:val="147"/>
    <w:qFormat/>
    <w:uiPriority w:val="0"/>
    <w:pPr>
      <w:snapToGrid w:val="0"/>
      <w:spacing w:before="80" w:after="40" w:line="276" w:lineRule="auto"/>
    </w:pPr>
    <w:rPr>
      <w:rFonts w:ascii="Futura Bk" w:hAnsi="Futura Bk" w:eastAsia="宋体" w:cs="Times New Roman"/>
      <w:kern w:val="2"/>
      <w:sz w:val="18"/>
      <w:szCs w:val="21"/>
      <w:lang w:val="en-US" w:eastAsia="zh-CN" w:bidi="ar-SA"/>
    </w:rPr>
  </w:style>
  <w:style w:type="character" w:customStyle="1" w:styleId="149">
    <w:name w:val="正文首行缩进两字 Char Char"/>
    <w:link w:val="150"/>
    <w:qFormat/>
    <w:uiPriority w:val="0"/>
    <w:rPr>
      <w:rFonts w:ascii="宋体" w:hAnsi="宋体"/>
      <w:kern w:val="2"/>
      <w:sz w:val="24"/>
      <w:szCs w:val="24"/>
      <w:lang w:val="en-US" w:eastAsia="zh-CN" w:bidi="ar-SA"/>
    </w:rPr>
  </w:style>
  <w:style w:type="paragraph" w:customStyle="1" w:styleId="150">
    <w:name w:val="正文首行缩进两字"/>
    <w:link w:val="149"/>
    <w:qFormat/>
    <w:uiPriority w:val="0"/>
    <w:pPr>
      <w:spacing w:afterLines="50" w:line="300" w:lineRule="auto"/>
      <w:ind w:left="480"/>
    </w:pPr>
    <w:rPr>
      <w:rFonts w:ascii="宋体" w:hAnsi="宋体" w:eastAsia="宋体" w:cs="Times New Roman"/>
      <w:kern w:val="2"/>
      <w:sz w:val="24"/>
      <w:szCs w:val="24"/>
      <w:lang w:val="en-US" w:eastAsia="zh-CN" w:bidi="ar-SA"/>
    </w:rPr>
  </w:style>
  <w:style w:type="character" w:customStyle="1" w:styleId="151">
    <w:name w:val="style21 style20"/>
    <w:basedOn w:val="39"/>
    <w:qFormat/>
    <w:uiPriority w:val="0"/>
  </w:style>
  <w:style w:type="character" w:customStyle="1" w:styleId="152">
    <w:name w:val="biaoti1"/>
    <w:qFormat/>
    <w:uiPriority w:val="0"/>
    <w:rPr>
      <w:b/>
      <w:bCs/>
      <w:sz w:val="21"/>
      <w:szCs w:val="21"/>
    </w:rPr>
  </w:style>
  <w:style w:type="character" w:customStyle="1" w:styleId="153">
    <w:name w:val="dhcc2 Char Char Char"/>
    <w:link w:val="154"/>
    <w:qFormat/>
    <w:uiPriority w:val="0"/>
    <w:rPr>
      <w:rFonts w:ascii="宋体" w:hAnsi="宋体"/>
      <w:sz w:val="24"/>
      <w:szCs w:val="21"/>
    </w:rPr>
  </w:style>
  <w:style w:type="paragraph" w:customStyle="1" w:styleId="154">
    <w:name w:val="dhcc2 Char"/>
    <w:basedOn w:val="1"/>
    <w:link w:val="153"/>
    <w:qFormat/>
    <w:uiPriority w:val="0"/>
    <w:pPr>
      <w:snapToGrid w:val="0"/>
      <w:spacing w:line="360" w:lineRule="auto"/>
      <w:ind w:firstLine="420"/>
    </w:pPr>
    <w:rPr>
      <w:rFonts w:ascii="宋体" w:hAnsi="宋体"/>
      <w:sz w:val="24"/>
      <w:szCs w:val="21"/>
      <w:lang w:bidi="ar-SA"/>
    </w:rPr>
  </w:style>
  <w:style w:type="character" w:customStyle="1" w:styleId="155">
    <w:name w:val="批注主题 字符"/>
    <w:link w:val="156"/>
    <w:qFormat/>
    <w:uiPriority w:val="0"/>
    <w:rPr>
      <w:rFonts w:eastAsia="宋体"/>
      <w:b/>
      <w:bCs/>
      <w:kern w:val="2"/>
      <w:sz w:val="21"/>
      <w:szCs w:val="28"/>
      <w:lang w:val="en-US" w:eastAsia="zh-CN"/>
    </w:rPr>
  </w:style>
  <w:style w:type="paragraph" w:customStyle="1" w:styleId="156">
    <w:name w:val="批注主题1"/>
    <w:basedOn w:val="15"/>
    <w:next w:val="15"/>
    <w:link w:val="155"/>
    <w:qFormat/>
    <w:uiPriority w:val="0"/>
    <w:rPr>
      <w:b/>
      <w:bCs/>
    </w:rPr>
  </w:style>
  <w:style w:type="character" w:customStyle="1" w:styleId="157">
    <w:name w:val="样式 DHCC 公司正文首行缩进:  2 字符 Char Char"/>
    <w:qFormat/>
    <w:uiPriority w:val="0"/>
    <w:rPr>
      <w:rFonts w:ascii="宋体" w:eastAsia="宋体"/>
      <w:sz w:val="21"/>
      <w:lang w:val="zh-CN" w:eastAsia="zh-CN"/>
    </w:rPr>
  </w:style>
  <w:style w:type="character" w:customStyle="1" w:styleId="158">
    <w:name w:val="访问过的超链接1"/>
    <w:qFormat/>
    <w:uiPriority w:val="0"/>
    <w:rPr>
      <w:color w:val="800080"/>
      <w:u w:val="single"/>
    </w:rPr>
  </w:style>
  <w:style w:type="character" w:customStyle="1" w:styleId="159">
    <w:name w:val="section1"/>
    <w:basedOn w:val="39"/>
    <w:qFormat/>
    <w:uiPriority w:val="0"/>
  </w:style>
  <w:style w:type="character" w:customStyle="1" w:styleId="160">
    <w:name w:val="white1"/>
    <w:qFormat/>
    <w:uiPriority w:val="0"/>
    <w:rPr>
      <w:color w:val="FCFEFC"/>
      <w:sz w:val="18"/>
      <w:szCs w:val="18"/>
    </w:rPr>
  </w:style>
  <w:style w:type="character" w:customStyle="1" w:styleId="161">
    <w:name w:val="ibm-item-note-alternate"/>
    <w:basedOn w:val="39"/>
    <w:qFormat/>
    <w:uiPriority w:val="0"/>
  </w:style>
  <w:style w:type="character" w:customStyle="1" w:styleId="162">
    <w:name w:val="副标题 字符"/>
    <w:link w:val="29"/>
    <w:qFormat/>
    <w:uiPriority w:val="11"/>
    <w:rPr>
      <w:rFonts w:ascii="Cambria" w:hAnsi="Cambria" w:eastAsia="宋体" w:cs="Times New Roman"/>
      <w:i/>
      <w:iCs/>
      <w:color w:val="4F81BD"/>
      <w:spacing w:val="15"/>
      <w:sz w:val="24"/>
      <w:szCs w:val="24"/>
    </w:rPr>
  </w:style>
  <w:style w:type="character" w:customStyle="1" w:styleId="163">
    <w:name w:val="第一段落（1） Char Char"/>
    <w:link w:val="164"/>
    <w:qFormat/>
    <w:uiPriority w:val="0"/>
    <w:rPr>
      <w:bCs/>
      <w:sz w:val="24"/>
      <w:szCs w:val="24"/>
    </w:rPr>
  </w:style>
  <w:style w:type="paragraph" w:customStyle="1" w:styleId="164">
    <w:name w:val="第一段落（1）"/>
    <w:basedOn w:val="165"/>
    <w:link w:val="163"/>
    <w:qFormat/>
    <w:uiPriority w:val="0"/>
    <w:pPr>
      <w:tabs>
        <w:tab w:val="left" w:pos="420"/>
      </w:tabs>
      <w:ind w:right="240" w:rightChars="100" w:firstLine="0" w:firstLineChars="0"/>
    </w:pPr>
    <w:rPr>
      <w:lang w:bidi="ar-SA"/>
    </w:rPr>
  </w:style>
  <w:style w:type="paragraph" w:customStyle="1" w:styleId="165">
    <w:name w:val="正文符号2"/>
    <w:basedOn w:val="1"/>
    <w:qFormat/>
    <w:uiPriority w:val="0"/>
    <w:pPr>
      <w:tabs>
        <w:tab w:val="left" w:pos="420"/>
      </w:tabs>
      <w:autoSpaceDE w:val="0"/>
      <w:autoSpaceDN w:val="0"/>
      <w:adjustRightInd w:val="0"/>
      <w:spacing w:line="360" w:lineRule="auto"/>
      <w:ind w:left="420" w:firstLine="480" w:firstLineChars="200"/>
    </w:pPr>
    <w:rPr>
      <w:bCs/>
      <w:sz w:val="24"/>
      <w:szCs w:val="24"/>
    </w:rPr>
  </w:style>
  <w:style w:type="character" w:customStyle="1" w:styleId="166">
    <w:name w:val="style191"/>
    <w:qFormat/>
    <w:uiPriority w:val="0"/>
    <w:rPr>
      <w:sz w:val="18"/>
      <w:szCs w:val="18"/>
    </w:rPr>
  </w:style>
  <w:style w:type="character" w:customStyle="1" w:styleId="167">
    <w:name w:val="标题 5 字符"/>
    <w:link w:val="7"/>
    <w:qFormat/>
    <w:uiPriority w:val="9"/>
    <w:rPr>
      <w:rFonts w:ascii="Cambria" w:hAnsi="Cambria" w:eastAsia="宋体" w:cs="Times New Roman"/>
      <w:color w:val="243F60"/>
    </w:rPr>
  </w:style>
  <w:style w:type="character" w:customStyle="1" w:styleId="168">
    <w:name w:val="xuj"/>
    <w:qFormat/>
    <w:uiPriority w:val="0"/>
    <w:rPr>
      <w:rFonts w:ascii="Arial" w:hAnsi="Arial" w:cs="Arial"/>
      <w:color w:val="000080"/>
      <w:sz w:val="20"/>
      <w:szCs w:val="20"/>
      <w:u w:val="none"/>
    </w:rPr>
  </w:style>
  <w:style w:type="character" w:customStyle="1" w:styleId="169">
    <w:name w:val="尾注文本 字符"/>
    <w:link w:val="23"/>
    <w:qFormat/>
    <w:uiPriority w:val="0"/>
    <w:rPr>
      <w:szCs w:val="24"/>
    </w:rPr>
  </w:style>
  <w:style w:type="character" w:customStyle="1" w:styleId="170">
    <w:name w:val="biaotiw1"/>
    <w:qFormat/>
    <w:uiPriority w:val="0"/>
    <w:rPr>
      <w:b/>
      <w:bCs/>
      <w:sz w:val="21"/>
      <w:szCs w:val="21"/>
    </w:rPr>
  </w:style>
  <w:style w:type="character" w:customStyle="1" w:styleId="171">
    <w:name w:val="文档正文 Char1"/>
    <w:link w:val="172"/>
    <w:qFormat/>
    <w:uiPriority w:val="0"/>
    <w:rPr>
      <w:rFonts w:ascii="仿宋_GB2312" w:eastAsia="仿宋_GB2312"/>
      <w:sz w:val="28"/>
      <w:szCs w:val="28"/>
    </w:rPr>
  </w:style>
  <w:style w:type="paragraph" w:customStyle="1" w:styleId="172">
    <w:name w:val="文档正文"/>
    <w:basedOn w:val="1"/>
    <w:link w:val="171"/>
    <w:qFormat/>
    <w:uiPriority w:val="0"/>
    <w:pPr>
      <w:numPr>
        <w:ilvl w:val="0"/>
        <w:numId w:val="4"/>
      </w:numPr>
      <w:adjustRightInd w:val="0"/>
      <w:spacing w:line="480" w:lineRule="exact"/>
      <w:textAlignment w:val="baseline"/>
    </w:pPr>
    <w:rPr>
      <w:rFonts w:ascii="仿宋_GB2312" w:eastAsia="仿宋_GB2312"/>
      <w:sz w:val="28"/>
      <w:szCs w:val="28"/>
      <w:lang w:bidi="ar-SA"/>
    </w:rPr>
  </w:style>
  <w:style w:type="character" w:customStyle="1" w:styleId="173">
    <w:name w:val="文档结构图 Char Char"/>
    <w:link w:val="174"/>
    <w:qFormat/>
    <w:uiPriority w:val="0"/>
    <w:rPr>
      <w:rFonts w:eastAsia="宋体"/>
      <w:kern w:val="2"/>
      <w:sz w:val="21"/>
      <w:szCs w:val="24"/>
      <w:lang w:val="en-US" w:eastAsia="zh-CN"/>
    </w:rPr>
  </w:style>
  <w:style w:type="paragraph" w:customStyle="1" w:styleId="174">
    <w:name w:val="文档结构图1"/>
    <w:basedOn w:val="1"/>
    <w:link w:val="173"/>
    <w:qFormat/>
    <w:uiPriority w:val="0"/>
    <w:pPr>
      <w:shd w:val="clear" w:color="auto" w:fill="000080"/>
    </w:pPr>
    <w:rPr>
      <w:kern w:val="2"/>
      <w:sz w:val="21"/>
      <w:szCs w:val="24"/>
      <w:lang w:eastAsia="zh-CN" w:bidi="ar-SA"/>
    </w:rPr>
  </w:style>
  <w:style w:type="paragraph" w:customStyle="1" w:styleId="175">
    <w:name w:val="xl158"/>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176">
    <w:name w:val="注×："/>
    <w:qFormat/>
    <w:uiPriority w:val="0"/>
    <w:pPr>
      <w:widowControl w:val="0"/>
      <w:numPr>
        <w:ilvl w:val="0"/>
        <w:numId w:val="5"/>
      </w:numPr>
      <w:tabs>
        <w:tab w:val="left" w:pos="630"/>
      </w:tabs>
      <w:autoSpaceDE w:val="0"/>
      <w:autoSpaceDN w:val="0"/>
      <w:spacing w:after="200" w:line="276" w:lineRule="auto"/>
      <w:jc w:val="both"/>
    </w:pPr>
    <w:rPr>
      <w:rFonts w:ascii="宋体" w:hAnsi="Calibri" w:eastAsia="宋体" w:cs="Times New Roman"/>
      <w:sz w:val="18"/>
      <w:szCs w:val="22"/>
      <w:lang w:val="en-US" w:eastAsia="zh-CN" w:bidi="ar-SA"/>
    </w:rPr>
  </w:style>
  <w:style w:type="paragraph" w:customStyle="1" w:styleId="177">
    <w:name w:val="font1"/>
    <w:basedOn w:val="1"/>
    <w:qFormat/>
    <w:uiPriority w:val="0"/>
    <w:pPr>
      <w:spacing w:before="100" w:beforeAutospacing="1" w:after="100" w:afterAutospacing="1"/>
    </w:pPr>
    <w:rPr>
      <w:rFonts w:ascii="Arial" w:hAnsi="Arial" w:cs="Arial"/>
      <w:b/>
      <w:bCs/>
      <w:sz w:val="20"/>
    </w:rPr>
  </w:style>
  <w:style w:type="paragraph" w:customStyle="1" w:styleId="178">
    <w:name w:val="1"/>
    <w:basedOn w:val="1"/>
    <w:qFormat/>
    <w:uiPriority w:val="0"/>
    <w:pPr>
      <w:spacing w:afterLines="50" w:line="360" w:lineRule="auto"/>
      <w:jc w:val="center"/>
    </w:pPr>
    <w:rPr>
      <w:rFonts w:ascii="宋体" w:hAnsi="宋体" w:cs="宋体"/>
      <w:b/>
      <w:sz w:val="24"/>
    </w:rPr>
  </w:style>
  <w:style w:type="paragraph" w:customStyle="1" w:styleId="179">
    <w:name w:val="列表 51"/>
    <w:basedOn w:val="1"/>
    <w:qFormat/>
    <w:uiPriority w:val="0"/>
    <w:pPr>
      <w:tabs>
        <w:tab w:val="left" w:pos="320"/>
      </w:tabs>
      <w:spacing w:line="400" w:lineRule="exact"/>
      <w:ind w:left="320" w:leftChars="30" w:hanging="420"/>
    </w:pPr>
    <w:rPr>
      <w:rFonts w:ascii="宋体" w:hAnsi="宋体"/>
      <w:b/>
      <w:sz w:val="24"/>
      <w:szCs w:val="18"/>
    </w:rPr>
  </w:style>
  <w:style w:type="paragraph" w:customStyle="1" w:styleId="180">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18"/>
      <w:szCs w:val="18"/>
    </w:rPr>
  </w:style>
  <w:style w:type="paragraph" w:customStyle="1" w:styleId="181">
    <w:name w:val="样式 题注 + 居中 首行缩进:  2 字符"/>
    <w:basedOn w:val="13"/>
    <w:qFormat/>
    <w:uiPriority w:val="0"/>
    <w:pPr>
      <w:tabs>
        <w:tab w:val="right" w:pos="9500"/>
      </w:tabs>
      <w:spacing w:before="240" w:after="240" w:line="360" w:lineRule="auto"/>
      <w:jc w:val="center"/>
    </w:pPr>
    <w:rPr>
      <w:rFonts w:ascii="Arial" w:hAnsi="Arial"/>
      <w:sz w:val="21"/>
      <w:szCs w:val="20"/>
      <w:lang w:val="zh-CN"/>
    </w:rPr>
  </w:style>
  <w:style w:type="paragraph" w:customStyle="1" w:styleId="182">
    <w:name w:val="xl186"/>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183">
    <w:name w:val="xl40"/>
    <w:basedOn w:val="1"/>
    <w:qFormat/>
    <w:uiPriority w:val="0"/>
    <w:pPr>
      <w:pBdr>
        <w:top w:val="single" w:color="auto" w:sz="4" w:space="0"/>
        <w:left w:val="single" w:color="auto" w:sz="4" w:space="0"/>
        <w:right w:val="single" w:color="auto" w:sz="4" w:space="0"/>
      </w:pBdr>
      <w:spacing w:before="100" w:beforeAutospacing="1" w:after="100" w:afterAutospacing="1"/>
    </w:pPr>
    <w:rPr>
      <w:rFonts w:eastAsia="Arial Unicode MS"/>
      <w:sz w:val="24"/>
      <w:szCs w:val="24"/>
    </w:rPr>
  </w:style>
  <w:style w:type="paragraph" w:customStyle="1" w:styleId="184">
    <w:name w:val="xl27"/>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top"/>
    </w:pPr>
    <w:rPr>
      <w:b/>
      <w:bCs/>
    </w:rPr>
  </w:style>
  <w:style w:type="paragraph" w:customStyle="1" w:styleId="185">
    <w:name w:val="xl206"/>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186">
    <w:name w:val="节"/>
    <w:basedOn w:val="4"/>
    <w:qFormat/>
    <w:uiPriority w:val="0"/>
    <w:pPr>
      <w:numPr>
        <w:ilvl w:val="1"/>
        <w:numId w:val="6"/>
      </w:numPr>
      <w:tabs>
        <w:tab w:val="left" w:pos="432"/>
        <w:tab w:val="left" w:pos="1454"/>
        <w:tab w:val="clear" w:pos="576"/>
      </w:tabs>
      <w:spacing w:line="240" w:lineRule="auto"/>
      <w:ind w:left="1454" w:hanging="420" w:firstLineChars="141"/>
    </w:pPr>
    <w:rPr>
      <w:rFonts w:ascii="黑体" w:hAnsi="Arial"/>
      <w:b w:val="0"/>
      <w:sz w:val="28"/>
      <w:szCs w:val="28"/>
    </w:rPr>
  </w:style>
  <w:style w:type="paragraph" w:customStyle="1" w:styleId="187">
    <w:name w:val="列出段落2"/>
    <w:basedOn w:val="1"/>
    <w:qFormat/>
    <w:uiPriority w:val="0"/>
    <w:pPr>
      <w:ind w:firstLine="420" w:firstLineChars="200"/>
    </w:pPr>
    <w:rPr>
      <w:szCs w:val="24"/>
    </w:rPr>
  </w:style>
  <w:style w:type="paragraph" w:customStyle="1" w:styleId="188">
    <w:name w:val="正文(不缩进) 五号"/>
    <w:basedOn w:val="1"/>
    <w:qFormat/>
    <w:uiPriority w:val="0"/>
    <w:pPr>
      <w:spacing w:after="120" w:line="360" w:lineRule="auto"/>
    </w:pPr>
    <w:rPr>
      <w:rFonts w:ascii="Arial" w:hAnsi="Arial"/>
    </w:rPr>
  </w:style>
  <w:style w:type="paragraph" w:customStyle="1" w:styleId="189">
    <w:name w:val="xl2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sz w:val="24"/>
      <w:szCs w:val="24"/>
    </w:rPr>
  </w:style>
  <w:style w:type="paragraph" w:customStyle="1" w:styleId="190">
    <w:name w:val="xl200"/>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191">
    <w:name w:val="xl207"/>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192">
    <w:name w:val="Char1"/>
    <w:basedOn w:val="1"/>
    <w:qFormat/>
    <w:uiPriority w:val="0"/>
    <w:rPr>
      <w:rFonts w:ascii="仿宋_GB2312" w:hAnsi="宋体" w:eastAsia="仿宋_GB2312" w:cs="宋体"/>
      <w:b/>
      <w:sz w:val="32"/>
      <w:szCs w:val="32"/>
    </w:rPr>
  </w:style>
  <w:style w:type="paragraph" w:customStyle="1" w:styleId="193">
    <w:name w:val="列表 31"/>
    <w:basedOn w:val="61"/>
    <w:qFormat/>
    <w:uiPriority w:val="0"/>
    <w:pPr>
      <w:numPr>
        <w:ilvl w:val="0"/>
        <w:numId w:val="7"/>
      </w:numPr>
      <w:tabs>
        <w:tab w:val="left" w:pos="1554"/>
        <w:tab w:val="clear" w:pos="620"/>
      </w:tabs>
      <w:spacing w:line="360" w:lineRule="auto"/>
      <w:ind w:left="1554" w:leftChars="30" w:hanging="432"/>
    </w:pPr>
    <w:rPr>
      <w:rFonts w:ascii="宋体" w:hAnsi="宋体"/>
      <w:sz w:val="24"/>
      <w:szCs w:val="24"/>
    </w:rPr>
  </w:style>
  <w:style w:type="paragraph" w:customStyle="1" w:styleId="194">
    <w:name w:val="xl1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195">
    <w:name w:val="Table Cell Text"/>
    <w:basedOn w:val="1"/>
    <w:qFormat/>
    <w:uiPriority w:val="0"/>
    <w:pPr>
      <w:spacing w:before="120" w:after="120"/>
    </w:pPr>
    <w:rPr>
      <w:rFonts w:ascii="Arial" w:hAnsi="Arial" w:cs="Arial"/>
      <w:sz w:val="18"/>
    </w:rPr>
  </w:style>
  <w:style w:type="paragraph" w:customStyle="1" w:styleId="196">
    <w:name w:val="表正文左"/>
    <w:qFormat/>
    <w:uiPriority w:val="0"/>
    <w:pPr>
      <w:spacing w:after="200" w:line="276" w:lineRule="auto"/>
    </w:pPr>
    <w:rPr>
      <w:rFonts w:ascii="Arial" w:hAnsi="Arial" w:eastAsia="宋体" w:cs="Times New Roman"/>
      <w:kern w:val="2"/>
      <w:sz w:val="18"/>
      <w:szCs w:val="24"/>
      <w:lang w:val="en-US" w:eastAsia="zh-CN" w:bidi="ar-SA"/>
    </w:rPr>
  </w:style>
  <w:style w:type="paragraph" w:customStyle="1" w:styleId="197">
    <w:name w:val="xl196"/>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98">
    <w:name w:val="p14h"/>
    <w:basedOn w:val="1"/>
    <w:qFormat/>
    <w:uiPriority w:val="0"/>
    <w:pPr>
      <w:spacing w:before="100" w:beforeAutospacing="1" w:after="100" w:afterAutospacing="1" w:line="312" w:lineRule="auto"/>
    </w:pPr>
    <w:rPr>
      <w:rFonts w:ascii="宋体" w:hAnsi="宋体"/>
    </w:rPr>
  </w:style>
  <w:style w:type="paragraph" w:customStyle="1" w:styleId="199">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00">
    <w:name w:val="xl212"/>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01">
    <w:name w:val="xl139"/>
    <w:basedOn w:val="1"/>
    <w:qFormat/>
    <w:uiPriority w:val="0"/>
    <w:pPr>
      <w:shd w:val="clear" w:color="000000" w:fill="FFFFFF"/>
      <w:spacing w:before="100" w:beforeAutospacing="1" w:after="100" w:afterAutospacing="1"/>
    </w:pPr>
    <w:rPr>
      <w:rFonts w:ascii="宋体" w:hAnsi="宋体" w:cs="宋体"/>
      <w:b/>
      <w:bCs/>
      <w:color w:val="000000"/>
    </w:rPr>
  </w:style>
  <w:style w:type="paragraph" w:customStyle="1" w:styleId="202">
    <w:name w:val="Char Char Char Char Char Char Char Char Char Char Char Char Char Char Char Char Char Char Char Char Char Char"/>
    <w:basedOn w:val="1"/>
    <w:qFormat/>
    <w:uiPriority w:val="0"/>
    <w:rPr>
      <w:rFonts w:ascii="Tahoma" w:hAnsi="Tahoma"/>
      <w:sz w:val="24"/>
    </w:rPr>
  </w:style>
  <w:style w:type="paragraph" w:customStyle="1" w:styleId="203">
    <w:name w:val="Char Char Char Char1 Char Char Char"/>
    <w:basedOn w:val="1"/>
    <w:qFormat/>
    <w:uiPriority w:val="0"/>
    <w:rPr>
      <w:rFonts w:ascii="Tahoma" w:hAnsi="Tahoma"/>
      <w:sz w:val="24"/>
    </w:rPr>
  </w:style>
  <w:style w:type="paragraph" w:customStyle="1" w:styleId="204">
    <w:name w:val="xl17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05">
    <w:name w:val="Char Char Char1"/>
    <w:basedOn w:val="1"/>
    <w:qFormat/>
    <w:uiPriority w:val="0"/>
    <w:rPr>
      <w:rFonts w:ascii="Tahoma" w:hAnsi="Tahoma"/>
      <w:sz w:val="24"/>
    </w:rPr>
  </w:style>
  <w:style w:type="paragraph" w:customStyle="1" w:styleId="206">
    <w:name w:val="2150"/>
    <w:basedOn w:val="1"/>
    <w:qFormat/>
    <w:uiPriority w:val="0"/>
    <w:pPr>
      <w:spacing w:before="100" w:beforeAutospacing="1" w:after="100" w:afterAutospacing="1" w:line="240" w:lineRule="atLeast"/>
    </w:pPr>
    <w:rPr>
      <w:rFonts w:ascii="宋体" w:hAnsi="宋体" w:cs="宋体"/>
      <w:sz w:val="18"/>
      <w:szCs w:val="18"/>
    </w:rPr>
  </w:style>
  <w:style w:type="paragraph" w:customStyle="1" w:styleId="207">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08">
    <w:name w:val="索引标题1"/>
    <w:basedOn w:val="1"/>
    <w:next w:val="209"/>
    <w:qFormat/>
    <w:uiPriority w:val="0"/>
    <w:rPr>
      <w:rFonts w:ascii="Arial" w:hAnsi="Arial" w:cs="Arial"/>
      <w:b/>
      <w:bCs/>
      <w:szCs w:val="24"/>
    </w:rPr>
  </w:style>
  <w:style w:type="paragraph" w:customStyle="1" w:styleId="209">
    <w:name w:val="索引 11"/>
    <w:basedOn w:val="1"/>
    <w:next w:val="1"/>
    <w:qFormat/>
    <w:uiPriority w:val="0"/>
    <w:rPr>
      <w:szCs w:val="24"/>
    </w:rPr>
  </w:style>
  <w:style w:type="paragraph" w:customStyle="1" w:styleId="210">
    <w:name w:val="xl19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11">
    <w:name w:val="xl8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12">
    <w:name w:val="a2"/>
    <w:basedOn w:val="1"/>
    <w:qFormat/>
    <w:uiPriority w:val="0"/>
    <w:pPr>
      <w:spacing w:after="150"/>
    </w:pPr>
    <w:rPr>
      <w:rFonts w:ascii="宋体" w:hAnsi="宋体" w:cs="宋体"/>
      <w:sz w:val="24"/>
      <w:szCs w:val="24"/>
    </w:rPr>
  </w:style>
  <w:style w:type="paragraph" w:customStyle="1" w:styleId="213">
    <w:name w:val="列表 41"/>
    <w:basedOn w:val="1"/>
    <w:qFormat/>
    <w:uiPriority w:val="0"/>
    <w:pPr>
      <w:spacing w:line="400" w:lineRule="exact"/>
      <w:ind w:left="100" w:leftChars="600" w:hanging="200" w:hangingChars="200"/>
    </w:pPr>
    <w:rPr>
      <w:rFonts w:ascii="宋体" w:hAnsi="宋体"/>
      <w:sz w:val="24"/>
      <w:szCs w:val="18"/>
    </w:rPr>
  </w:style>
  <w:style w:type="paragraph" w:customStyle="1" w:styleId="214">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5">
    <w:name w:val="xl10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216">
    <w:name w:val="tabletext"/>
    <w:basedOn w:val="1"/>
    <w:qFormat/>
    <w:uiPriority w:val="0"/>
    <w:pPr>
      <w:spacing w:line="300" w:lineRule="atLeast"/>
    </w:pPr>
    <w:rPr>
      <w:rFonts w:ascii="宋体" w:hAnsi="宋体" w:cs="宋体"/>
      <w:sz w:val="18"/>
      <w:szCs w:val="18"/>
    </w:rPr>
  </w:style>
  <w:style w:type="paragraph" w:customStyle="1" w:styleId="217">
    <w:name w:val="样式 正文缩进表正文正文非缩进标题4正文缩进1正文缩进 Charbt特点段1正文不缩进ALT+Z水上软件..."/>
    <w:basedOn w:val="61"/>
    <w:qFormat/>
    <w:uiPriority w:val="0"/>
    <w:pPr>
      <w:numPr>
        <w:ilvl w:val="1"/>
        <w:numId w:val="8"/>
      </w:numPr>
      <w:tabs>
        <w:tab w:val="left" w:pos="360"/>
        <w:tab w:val="clear" w:pos="900"/>
      </w:tabs>
      <w:spacing w:line="300" w:lineRule="auto"/>
      <w:ind w:left="0" w:firstLine="420"/>
    </w:pPr>
    <w:rPr>
      <w:rFonts w:ascii="Times New Roman" w:hAnsi="Times New Roman" w:cs="宋体"/>
      <w:sz w:val="24"/>
      <w:szCs w:val="20"/>
    </w:rPr>
  </w:style>
  <w:style w:type="paragraph" w:customStyle="1" w:styleId="218">
    <w:name w:val="List Paragraph1"/>
    <w:basedOn w:val="1"/>
    <w:qFormat/>
    <w:uiPriority w:val="0"/>
    <w:pPr>
      <w:ind w:firstLine="420" w:firstLineChars="200"/>
    </w:pPr>
  </w:style>
  <w:style w:type="paragraph" w:customStyle="1" w:styleId="219">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sz w:val="24"/>
    </w:rPr>
  </w:style>
  <w:style w:type="paragraph" w:customStyle="1" w:styleId="22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21">
    <w:name w:val="xl1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22">
    <w:name w:val="xl1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3">
    <w:name w:val="H1 Text"/>
    <w:basedOn w:val="1"/>
    <w:qFormat/>
    <w:uiPriority w:val="0"/>
    <w:pPr>
      <w:tabs>
        <w:tab w:val="left" w:pos="360"/>
      </w:tabs>
      <w:spacing w:after="60" w:line="300" w:lineRule="exact"/>
      <w:ind w:left="360"/>
    </w:pPr>
    <w:rPr>
      <w:rFonts w:ascii="Times" w:hAnsi="Times"/>
    </w:rPr>
  </w:style>
  <w:style w:type="paragraph" w:customStyle="1" w:styleId="224">
    <w:name w:val="xl15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rPr>
  </w:style>
  <w:style w:type="paragraph" w:customStyle="1" w:styleId="225">
    <w:name w:val="正文表标题"/>
    <w:next w:val="226"/>
    <w:qFormat/>
    <w:uiPriority w:val="0"/>
    <w:pPr>
      <w:numPr>
        <w:ilvl w:val="0"/>
        <w:numId w:val="9"/>
      </w:numPr>
      <w:spacing w:after="200" w:line="276" w:lineRule="auto"/>
      <w:jc w:val="center"/>
    </w:pPr>
    <w:rPr>
      <w:rFonts w:ascii="黑体" w:hAnsi="Calibri" w:eastAsia="黑体" w:cs="Times New Roman"/>
      <w:sz w:val="21"/>
      <w:szCs w:val="22"/>
      <w:lang w:val="en-US" w:eastAsia="zh-CN" w:bidi="ar-SA"/>
    </w:rPr>
  </w:style>
  <w:style w:type="paragraph" w:customStyle="1" w:styleId="226">
    <w:name w:val="段"/>
    <w:qFormat/>
    <w:uiPriority w:val="0"/>
    <w:pPr>
      <w:autoSpaceDE w:val="0"/>
      <w:autoSpaceDN w:val="0"/>
      <w:spacing w:after="200" w:line="276" w:lineRule="auto"/>
      <w:ind w:firstLine="200" w:firstLineChars="200"/>
      <w:jc w:val="both"/>
    </w:pPr>
    <w:rPr>
      <w:rFonts w:ascii="宋体" w:hAnsi="Calibri" w:eastAsia="宋体" w:cs="Times New Roman"/>
      <w:sz w:val="21"/>
      <w:szCs w:val="22"/>
      <w:lang w:val="en-US" w:eastAsia="zh-CN" w:bidi="ar-SA"/>
    </w:rPr>
  </w:style>
  <w:style w:type="paragraph" w:customStyle="1" w:styleId="227">
    <w:name w:val="xl208"/>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28">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29">
    <w:name w:val="列项——"/>
    <w:qFormat/>
    <w:uiPriority w:val="0"/>
    <w:pPr>
      <w:widowControl w:val="0"/>
      <w:numPr>
        <w:ilvl w:val="0"/>
        <w:numId w:val="10"/>
      </w:numPr>
      <w:tabs>
        <w:tab w:val="left" w:pos="840"/>
        <w:tab w:val="clear" w:pos="360"/>
      </w:tabs>
      <w:spacing w:after="200" w:line="276" w:lineRule="auto"/>
      <w:jc w:val="both"/>
    </w:pPr>
    <w:rPr>
      <w:rFonts w:ascii="宋体" w:hAnsi="Calibri" w:eastAsia="宋体" w:cs="Times New Roman"/>
      <w:sz w:val="21"/>
      <w:szCs w:val="22"/>
      <w:lang w:val="en-US" w:eastAsia="zh-CN" w:bidi="ar-SA"/>
    </w:rPr>
  </w:style>
  <w:style w:type="paragraph" w:customStyle="1" w:styleId="230">
    <w:name w:val="xl17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1">
    <w:name w:val="Char3"/>
    <w:basedOn w:val="1"/>
    <w:qFormat/>
    <w:uiPriority w:val="0"/>
    <w:pPr>
      <w:spacing w:after="160" w:line="240" w:lineRule="exact"/>
    </w:pPr>
    <w:rPr>
      <w:rFonts w:ascii="Verdana" w:hAnsi="Verdana"/>
      <w:sz w:val="20"/>
    </w:rPr>
  </w:style>
  <w:style w:type="paragraph" w:customStyle="1" w:styleId="232">
    <w:name w:val="ST20_1"/>
    <w:basedOn w:val="1"/>
    <w:qFormat/>
    <w:uiPriority w:val="0"/>
    <w:pPr>
      <w:autoSpaceDE w:val="0"/>
      <w:autoSpaceDN w:val="0"/>
      <w:adjustRightInd w:val="0"/>
      <w:snapToGrid w:val="0"/>
    </w:pPr>
    <w:rPr>
      <w:rFonts w:ascii="宋体" w:hAnsi="Tms Rmn"/>
      <w:bCs/>
      <w:sz w:val="24"/>
    </w:rPr>
  </w:style>
  <w:style w:type="paragraph" w:customStyle="1" w:styleId="23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34">
    <w:name w:val="样式1"/>
    <w:basedOn w:val="208"/>
    <w:qFormat/>
    <w:uiPriority w:val="0"/>
    <w:pPr>
      <w:tabs>
        <w:tab w:val="left" w:pos="840"/>
      </w:tabs>
      <w:spacing w:before="100" w:beforeAutospacing="1" w:after="100" w:afterAutospacing="1" w:line="360" w:lineRule="auto"/>
      <w:ind w:left="840" w:hanging="420"/>
    </w:pPr>
    <w:rPr>
      <w:color w:val="000000"/>
      <w:sz w:val="24"/>
    </w:rPr>
  </w:style>
  <w:style w:type="paragraph" w:customStyle="1" w:styleId="235">
    <w:name w:val="xl2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rPr>
  </w:style>
  <w:style w:type="paragraph" w:customStyle="1" w:styleId="236">
    <w:name w:val="at1"/>
    <w:basedOn w:val="1"/>
    <w:qFormat/>
    <w:uiPriority w:val="0"/>
    <w:pPr>
      <w:autoSpaceDE w:val="0"/>
      <w:autoSpaceDN w:val="0"/>
      <w:spacing w:before="120" w:after="120" w:line="360" w:lineRule="exact"/>
      <w:ind w:left="527" w:hanging="527"/>
    </w:pPr>
    <w:rPr>
      <w:rFonts w:eastAsia="华文仿宋"/>
      <w:sz w:val="24"/>
    </w:rPr>
  </w:style>
  <w:style w:type="paragraph" w:customStyle="1" w:styleId="237">
    <w:name w:val="lastincell"/>
    <w:basedOn w:val="1"/>
    <w:qFormat/>
    <w:uiPriority w:val="0"/>
    <w:pPr>
      <w:numPr>
        <w:ilvl w:val="0"/>
        <w:numId w:val="11"/>
      </w:numPr>
      <w:spacing w:before="100" w:beforeAutospacing="1" w:after="100" w:afterAutospacing="1"/>
      <w:ind w:left="0" w:firstLine="0"/>
    </w:pPr>
    <w:rPr>
      <w:rFonts w:ascii="宋体" w:hAnsi="宋体"/>
      <w:snapToGrid w:val="0"/>
      <w:sz w:val="24"/>
      <w:szCs w:val="24"/>
    </w:rPr>
  </w:style>
  <w:style w:type="paragraph" w:customStyle="1" w:styleId="238">
    <w:name w:val="xl21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39">
    <w:name w:val="xl2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Arial Unicode MS" w:hAnsi="Arial Unicode MS"/>
    </w:rPr>
  </w:style>
  <w:style w:type="paragraph" w:customStyle="1" w:styleId="240">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1">
    <w:name w:val="contentnoteheader"/>
    <w:basedOn w:val="1"/>
    <w:qFormat/>
    <w:uiPriority w:val="0"/>
    <w:pPr>
      <w:spacing w:before="30" w:after="100" w:afterAutospacing="1"/>
      <w:ind w:left="90"/>
    </w:pPr>
    <w:rPr>
      <w:rFonts w:ascii="Arial Unicode MS" w:hAnsi="Arial Unicode MS"/>
      <w:b/>
      <w:bCs/>
      <w:color w:val="990000"/>
      <w:sz w:val="18"/>
      <w:szCs w:val="18"/>
    </w:rPr>
  </w:style>
  <w:style w:type="paragraph" w:customStyle="1" w:styleId="242">
    <w:name w:val="xl19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43">
    <w:name w:val="xl16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000000"/>
    </w:rPr>
  </w:style>
  <w:style w:type="paragraph" w:customStyle="1" w:styleId="244">
    <w:name w:val="Char Char Char Char Char Char"/>
    <w:basedOn w:val="1"/>
    <w:qFormat/>
    <w:uiPriority w:val="0"/>
    <w:rPr>
      <w:rFonts w:ascii="Tahoma" w:hAnsi="Tahoma"/>
      <w:sz w:val="24"/>
    </w:rPr>
  </w:style>
  <w:style w:type="paragraph" w:customStyle="1" w:styleId="245">
    <w:name w:val="xl146"/>
    <w:basedOn w:val="1"/>
    <w:qFormat/>
    <w:uiPriority w:val="0"/>
    <w:pPr>
      <w:pBdr>
        <w:bottom w:val="single" w:color="000000" w:sz="4" w:space="0"/>
      </w:pBdr>
      <w:spacing w:before="100" w:beforeAutospacing="1" w:after="100" w:afterAutospacing="1"/>
      <w:jc w:val="right"/>
    </w:pPr>
    <w:rPr>
      <w:rFonts w:ascii="宋体" w:hAnsi="宋体" w:cs="宋体"/>
      <w:b/>
      <w:bCs/>
      <w:color w:val="000000"/>
    </w:rPr>
  </w:style>
  <w:style w:type="paragraph" w:customStyle="1" w:styleId="246">
    <w:name w:val="表格表头"/>
    <w:basedOn w:val="1"/>
    <w:next w:val="61"/>
    <w:qFormat/>
    <w:uiPriority w:val="0"/>
    <w:pPr>
      <w:numPr>
        <w:ilvl w:val="0"/>
        <w:numId w:val="12"/>
      </w:numPr>
      <w:adjustRightInd w:val="0"/>
      <w:snapToGrid w:val="0"/>
      <w:spacing w:before="60" w:after="60"/>
      <w:jc w:val="center"/>
    </w:pPr>
    <w:rPr>
      <w:color w:val="000000"/>
      <w:sz w:val="24"/>
      <w:szCs w:val="24"/>
    </w:rPr>
  </w:style>
  <w:style w:type="paragraph" w:customStyle="1" w:styleId="247">
    <w:name w:val="xl1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rPr>
  </w:style>
  <w:style w:type="paragraph" w:customStyle="1" w:styleId="248">
    <w:name w:val="xl28"/>
    <w:basedOn w:val="1"/>
    <w:qFormat/>
    <w:uiPriority w:val="0"/>
    <w:pPr>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b/>
      <w:bCs/>
      <w:sz w:val="24"/>
      <w:szCs w:val="24"/>
    </w:rPr>
  </w:style>
  <w:style w:type="paragraph" w:customStyle="1" w:styleId="249">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50">
    <w:name w:val="theader"/>
    <w:basedOn w:val="1"/>
    <w:qFormat/>
    <w:uiPriority w:val="0"/>
    <w:pPr>
      <w:spacing w:before="100" w:beforeAutospacing="1" w:after="100" w:afterAutospacing="1" w:line="200" w:lineRule="atLeast"/>
    </w:pPr>
    <w:rPr>
      <w:rFonts w:ascii="Arial" w:hAnsi="Arial" w:cs="Arial"/>
      <w:b/>
      <w:bCs/>
      <w:color w:val="294130"/>
      <w:sz w:val="15"/>
      <w:szCs w:val="15"/>
    </w:rPr>
  </w:style>
  <w:style w:type="paragraph" w:customStyle="1" w:styleId="251">
    <w:name w:val="xl211"/>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52">
    <w:name w:val="xl1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53">
    <w:name w:val="xl41"/>
    <w:basedOn w:val="1"/>
    <w:qFormat/>
    <w:uiPriority w:val="0"/>
    <w:pPr>
      <w:numPr>
        <w:ilvl w:val="0"/>
        <w:numId w:val="13"/>
      </w:numPr>
      <w:pBdr>
        <w:left w:val="single" w:color="auto" w:sz="4" w:space="0"/>
        <w:bottom w:val="single" w:color="auto" w:sz="4" w:space="0"/>
        <w:right w:val="single" w:color="auto" w:sz="4" w:space="0"/>
      </w:pBdr>
      <w:spacing w:before="100" w:beforeAutospacing="1" w:after="100" w:afterAutospacing="1"/>
      <w:ind w:left="0" w:firstLine="0"/>
      <w:textAlignment w:val="top"/>
    </w:pPr>
    <w:rPr>
      <w:rFonts w:ascii="宋体" w:hAnsi="宋体"/>
      <w:szCs w:val="21"/>
    </w:rPr>
  </w:style>
  <w:style w:type="paragraph" w:customStyle="1" w:styleId="254">
    <w:name w:val="xl203"/>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w:hAnsi="Arial" w:cs="Arial"/>
      <w:b/>
      <w:bCs/>
      <w:sz w:val="18"/>
      <w:szCs w:val="18"/>
    </w:rPr>
  </w:style>
  <w:style w:type="paragraph" w:customStyle="1" w:styleId="25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rPr>
  </w:style>
  <w:style w:type="paragraph" w:customStyle="1" w:styleId="25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58">
    <w:name w:val="并列项 ·"/>
    <w:basedOn w:val="259"/>
    <w:qFormat/>
    <w:uiPriority w:val="0"/>
    <w:pPr>
      <w:numPr>
        <w:ilvl w:val="0"/>
        <w:numId w:val="14"/>
      </w:numPr>
      <w:ind w:right="210"/>
    </w:pPr>
    <w:rPr>
      <w:b/>
    </w:rPr>
  </w:style>
  <w:style w:type="paragraph" w:customStyle="1" w:styleId="259">
    <w:name w:val="正文格式"/>
    <w:basedOn w:val="1"/>
    <w:qFormat/>
    <w:uiPriority w:val="0"/>
    <w:pPr>
      <w:adjustRightInd w:val="0"/>
      <w:snapToGrid w:val="0"/>
      <w:spacing w:line="360" w:lineRule="auto"/>
      <w:ind w:firstLine="527"/>
      <w:textAlignment w:val="baseline"/>
    </w:pPr>
    <w:rPr>
      <w:sz w:val="24"/>
    </w:rPr>
  </w:style>
  <w:style w:type="paragraph" w:customStyle="1" w:styleId="26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261">
    <w:name w:val="xl17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62">
    <w:name w:val="xl17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63">
    <w:name w:val="xl213"/>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64">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65">
    <w:name w:val="H2 List Bullet"/>
    <w:basedOn w:val="1"/>
    <w:qFormat/>
    <w:uiPriority w:val="0"/>
    <w:pPr>
      <w:numPr>
        <w:ilvl w:val="0"/>
        <w:numId w:val="15"/>
      </w:numPr>
      <w:tabs>
        <w:tab w:val="left" w:pos="1260"/>
        <w:tab w:val="clear" w:pos="1440"/>
      </w:tabs>
      <w:spacing w:after="60"/>
      <w:ind w:left="1260" w:hanging="180"/>
    </w:pPr>
  </w:style>
  <w:style w:type="paragraph" w:customStyle="1" w:styleId="266">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67">
    <w:name w:val="xl17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68">
    <w:name w:val="xl210"/>
    <w:basedOn w:val="1"/>
    <w:qFormat/>
    <w:uiPriority w:val="0"/>
    <w:pPr>
      <w:pBdr>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69">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70">
    <w:name w:val="xl19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71">
    <w:name w:val="xl18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72">
    <w:name w:val="Default"/>
    <w:qFormat/>
    <w:uiPriority w:val="0"/>
    <w:pPr>
      <w:widowControl w:val="0"/>
      <w:autoSpaceDE w:val="0"/>
      <w:autoSpaceDN w:val="0"/>
      <w:adjustRightInd w:val="0"/>
      <w:spacing w:after="200" w:line="276" w:lineRule="auto"/>
    </w:pPr>
    <w:rPr>
      <w:rFonts w:ascii="Arial,Bold" w:hAnsi="Arial,Bold" w:eastAsia="宋体" w:cs="Times New Roman"/>
      <w:sz w:val="22"/>
      <w:szCs w:val="22"/>
      <w:lang w:val="en-US" w:eastAsia="zh-CN" w:bidi="ar-SA"/>
    </w:rPr>
  </w:style>
  <w:style w:type="paragraph" w:customStyle="1" w:styleId="273">
    <w:name w:val="font6"/>
    <w:basedOn w:val="1"/>
    <w:qFormat/>
    <w:uiPriority w:val="0"/>
    <w:pPr>
      <w:spacing w:before="100" w:beforeAutospacing="1" w:after="100" w:afterAutospacing="1"/>
    </w:pPr>
    <w:rPr>
      <w:rFonts w:ascii="宋体" w:hAnsi="宋体" w:cs="宋体"/>
      <w:sz w:val="18"/>
      <w:szCs w:val="18"/>
    </w:rPr>
  </w:style>
  <w:style w:type="paragraph" w:customStyle="1" w:styleId="274">
    <w:name w:val="默认段落字体 Para Char"/>
    <w:basedOn w:val="1"/>
    <w:qFormat/>
    <w:uiPriority w:val="0"/>
    <w:pPr>
      <w:adjustRightInd w:val="0"/>
      <w:spacing w:line="360" w:lineRule="auto"/>
    </w:pPr>
    <w:rPr>
      <w:sz w:val="24"/>
    </w:rPr>
  </w:style>
  <w:style w:type="paragraph" w:customStyle="1" w:styleId="275">
    <w:name w:val="列表编号 31"/>
    <w:basedOn w:val="1"/>
    <w:qFormat/>
    <w:uiPriority w:val="0"/>
    <w:pPr>
      <w:numPr>
        <w:ilvl w:val="0"/>
        <w:numId w:val="16"/>
      </w:numPr>
    </w:pPr>
    <w:rPr>
      <w:szCs w:val="24"/>
    </w:rPr>
  </w:style>
  <w:style w:type="paragraph" w:customStyle="1" w:styleId="276">
    <w:name w:val="xl18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77">
    <w:name w:val="普通正文"/>
    <w:basedOn w:val="1"/>
    <w:qFormat/>
    <w:uiPriority w:val="0"/>
    <w:pPr>
      <w:tabs>
        <w:tab w:val="left" w:pos="0"/>
      </w:tabs>
      <w:topLinePunct/>
      <w:autoSpaceDE w:val="0"/>
      <w:autoSpaceDN w:val="0"/>
      <w:adjustRightInd w:val="0"/>
      <w:spacing w:before="40" w:after="40" w:line="440" w:lineRule="exact"/>
      <w:ind w:left="72" w:leftChars="30" w:right="62" w:firstLine="425"/>
      <w:textAlignment w:val="baseline"/>
    </w:pPr>
    <w:rPr>
      <w:rFonts w:ascii="宋体" w:hAnsi="宋体"/>
      <w:color w:val="000000"/>
      <w:sz w:val="24"/>
    </w:rPr>
  </w:style>
  <w:style w:type="paragraph" w:customStyle="1" w:styleId="278">
    <w:name w:val="MM Topic 2"/>
    <w:basedOn w:val="4"/>
    <w:qFormat/>
    <w:uiPriority w:val="0"/>
    <w:pPr>
      <w:tabs>
        <w:tab w:val="left" w:pos="288"/>
      </w:tabs>
      <w:spacing w:line="416" w:lineRule="auto"/>
      <w:ind w:left="288" w:hanging="576"/>
    </w:pPr>
    <w:rPr>
      <w:rFonts w:hAnsi="Arial"/>
      <w:szCs w:val="32"/>
    </w:rPr>
  </w:style>
  <w:style w:type="paragraph" w:customStyle="1" w:styleId="279">
    <w:name w:val="图样式"/>
    <w:basedOn w:val="1"/>
    <w:qFormat/>
    <w:uiPriority w:val="0"/>
    <w:pPr>
      <w:keepNext/>
      <w:autoSpaceDE w:val="0"/>
      <w:autoSpaceDN w:val="0"/>
      <w:adjustRightInd w:val="0"/>
      <w:spacing w:before="80" w:after="80" w:line="360" w:lineRule="auto"/>
      <w:jc w:val="center"/>
    </w:pPr>
  </w:style>
  <w:style w:type="paragraph" w:customStyle="1" w:styleId="280">
    <w:name w:val="Table Cell Head"/>
    <w:basedOn w:val="1"/>
    <w:next w:val="195"/>
    <w:qFormat/>
    <w:uiPriority w:val="0"/>
    <w:pPr>
      <w:tabs>
        <w:tab w:val="left" w:pos="360"/>
        <w:tab w:val="left" w:pos="720"/>
        <w:tab w:val="left" w:pos="1440"/>
        <w:tab w:val="left" w:pos="2160"/>
        <w:tab w:val="left" w:pos="2880"/>
        <w:tab w:val="left" w:pos="3600"/>
        <w:tab w:val="right" w:pos="7110"/>
        <w:tab w:val="left" w:pos="7920"/>
        <w:tab w:val="left" w:pos="8640"/>
      </w:tabs>
      <w:spacing w:before="120" w:after="120"/>
      <w:ind w:firstLine="36"/>
    </w:pPr>
    <w:rPr>
      <w:rFonts w:ascii="Arial" w:hAnsi="Arial"/>
      <w:b/>
      <w:bCs/>
      <w:color w:val="000000"/>
      <w:sz w:val="18"/>
    </w:rPr>
  </w:style>
  <w:style w:type="paragraph" w:customStyle="1" w:styleId="281">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sz w:val="24"/>
      <w:szCs w:val="24"/>
    </w:rPr>
  </w:style>
  <w:style w:type="paragraph" w:customStyle="1" w:styleId="282">
    <w:name w:val="默认段落字体 Para Char Char Char Char Char Char Char Char Char1 Char"/>
    <w:basedOn w:val="1"/>
    <w:qFormat/>
    <w:uiPriority w:val="0"/>
    <w:rPr>
      <w:rFonts w:ascii="Tahoma" w:hAnsi="Tahoma"/>
      <w:sz w:val="24"/>
    </w:rPr>
  </w:style>
  <w:style w:type="paragraph" w:customStyle="1" w:styleId="283">
    <w:name w:val="xl142"/>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284">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85">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286">
    <w:name w:val="newtext"/>
    <w:basedOn w:val="1"/>
    <w:qFormat/>
    <w:uiPriority w:val="0"/>
    <w:pPr>
      <w:spacing w:before="100" w:beforeAutospacing="1" w:after="100" w:afterAutospacing="1" w:line="360" w:lineRule="atLeast"/>
    </w:pPr>
    <w:rPr>
      <w:rFonts w:ascii="宋体" w:hAnsi="宋体" w:cs="宋体"/>
      <w:szCs w:val="21"/>
    </w:rPr>
  </w:style>
  <w:style w:type="paragraph" w:customStyle="1" w:styleId="287">
    <w:name w:val="xl188"/>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288">
    <w:name w:val="列项·"/>
    <w:qFormat/>
    <w:uiPriority w:val="0"/>
    <w:pPr>
      <w:numPr>
        <w:ilvl w:val="0"/>
        <w:numId w:val="17"/>
      </w:numPr>
      <w:tabs>
        <w:tab w:val="left" w:pos="840"/>
        <w:tab w:val="clear" w:pos="420"/>
      </w:tabs>
      <w:spacing w:after="200" w:line="276" w:lineRule="auto"/>
      <w:ind w:left="840" w:leftChars="200" w:hanging="200" w:hangingChars="200"/>
      <w:jc w:val="both"/>
    </w:pPr>
    <w:rPr>
      <w:rFonts w:ascii="宋体" w:hAnsi="Calibri" w:eastAsia="宋体" w:cs="Times New Roman"/>
      <w:sz w:val="21"/>
      <w:szCs w:val="22"/>
      <w:lang w:val="en-US" w:eastAsia="zh-CN" w:bidi="ar-SA"/>
    </w:rPr>
  </w:style>
  <w:style w:type="paragraph" w:customStyle="1" w:styleId="289">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90">
    <w:name w:val="表头文本"/>
    <w:qFormat/>
    <w:uiPriority w:val="0"/>
    <w:pPr>
      <w:spacing w:after="200" w:line="276" w:lineRule="auto"/>
      <w:jc w:val="center"/>
    </w:pPr>
    <w:rPr>
      <w:rFonts w:ascii="Arial" w:hAnsi="Arial" w:eastAsia="宋体" w:cs="Times New Roman"/>
      <w:b/>
      <w:sz w:val="21"/>
      <w:szCs w:val="21"/>
      <w:lang w:val="en-US" w:eastAsia="zh-CN" w:bidi="ar-SA"/>
    </w:rPr>
  </w:style>
  <w:style w:type="paragraph" w:customStyle="1" w:styleId="291">
    <w:name w:val="列出段落1"/>
    <w:basedOn w:val="1"/>
    <w:qFormat/>
    <w:uiPriority w:val="0"/>
    <w:pPr>
      <w:ind w:firstLine="420" w:firstLineChars="200"/>
    </w:pPr>
  </w:style>
  <w:style w:type="paragraph" w:customStyle="1" w:styleId="292">
    <w:name w:val="xl18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293">
    <w:name w:val="Char2"/>
    <w:basedOn w:val="1"/>
    <w:qFormat/>
    <w:uiPriority w:val="0"/>
    <w:pPr>
      <w:spacing w:after="160" w:line="240" w:lineRule="exact"/>
    </w:pPr>
    <w:rPr>
      <w:rFonts w:ascii="Verdana" w:hAnsi="Verdana"/>
      <w:sz w:val="20"/>
    </w:rPr>
  </w:style>
  <w:style w:type="paragraph" w:customStyle="1" w:styleId="294">
    <w:name w:val="’˝Œƒ"/>
    <w:basedOn w:val="1"/>
    <w:qFormat/>
    <w:uiPriority w:val="0"/>
    <w:pPr>
      <w:suppressAutoHyphens/>
      <w:autoSpaceDE w:val="0"/>
      <w:autoSpaceDN w:val="0"/>
      <w:adjustRightInd w:val="0"/>
      <w:spacing w:after="170" w:line="360" w:lineRule="atLeast"/>
      <w:textAlignment w:val="center"/>
    </w:pPr>
    <w:rPr>
      <w:rFonts w:ascii="ATC-6c494eea4e2d7b497ebf7b80*+H" w:hAnsi="ATC-6c494eea4e2d7b497ebf7b80*+H" w:eastAsia="ATC-6c494eea4e2d7b497ebf7b80*+H"/>
      <w:color w:val="000000"/>
      <w:sz w:val="20"/>
    </w:rPr>
  </w:style>
  <w:style w:type="paragraph" w:customStyle="1" w:styleId="295">
    <w:name w:val="样式 行距: 1.5 倍行距"/>
    <w:basedOn w:val="1"/>
    <w:qFormat/>
    <w:uiPriority w:val="0"/>
    <w:pPr>
      <w:spacing w:line="360" w:lineRule="auto"/>
    </w:pPr>
    <w:rPr>
      <w:rFonts w:eastAsia="楷体_GB2312"/>
      <w:sz w:val="24"/>
    </w:rPr>
  </w:style>
  <w:style w:type="paragraph" w:customStyle="1" w:styleId="296">
    <w:name w:val="xl18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297">
    <w:name w:val="xl16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9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299">
    <w:name w:val="表格文本"/>
    <w:qFormat/>
    <w:uiPriority w:val="0"/>
    <w:pPr>
      <w:tabs>
        <w:tab w:val="decimal" w:pos="0"/>
      </w:tabs>
      <w:spacing w:after="200" w:line="276" w:lineRule="auto"/>
    </w:pPr>
    <w:rPr>
      <w:rFonts w:ascii="Arial" w:hAnsi="Arial" w:eastAsia="宋体" w:cs="Times New Roman"/>
      <w:sz w:val="21"/>
      <w:szCs w:val="21"/>
      <w:lang w:val="en-US" w:eastAsia="zh-CN" w:bidi="ar-SA"/>
    </w:rPr>
  </w:style>
  <w:style w:type="paragraph" w:customStyle="1" w:styleId="300">
    <w:name w:val="xl21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01">
    <w:name w:val="示例"/>
    <w:next w:val="226"/>
    <w:qFormat/>
    <w:uiPriority w:val="0"/>
    <w:pPr>
      <w:numPr>
        <w:ilvl w:val="0"/>
        <w:numId w:val="18"/>
      </w:numPr>
      <w:tabs>
        <w:tab w:val="left" w:pos="816"/>
        <w:tab w:val="clear" w:pos="420"/>
      </w:tabs>
      <w:spacing w:after="200" w:line="276" w:lineRule="auto"/>
      <w:ind w:firstLine="419" w:firstLineChars="233"/>
      <w:jc w:val="both"/>
    </w:pPr>
    <w:rPr>
      <w:rFonts w:ascii="宋体" w:hAnsi="Calibri" w:eastAsia="宋体" w:cs="Times New Roman"/>
      <w:sz w:val="18"/>
      <w:szCs w:val="22"/>
      <w:lang w:val="en-US" w:eastAsia="zh-CN" w:bidi="ar-SA"/>
    </w:rPr>
  </w:style>
  <w:style w:type="paragraph" w:customStyle="1" w:styleId="30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4"/>
      <w:szCs w:val="24"/>
    </w:rPr>
  </w:style>
  <w:style w:type="paragraph" w:customStyle="1" w:styleId="303">
    <w:name w:val="标头1"/>
    <w:basedOn w:val="5"/>
    <w:qFormat/>
    <w:uiPriority w:val="0"/>
    <w:rPr>
      <w:sz w:val="28"/>
    </w:rPr>
  </w:style>
  <w:style w:type="paragraph" w:customStyle="1" w:styleId="304">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sz w:val="24"/>
    </w:rPr>
  </w:style>
  <w:style w:type="paragraph" w:customStyle="1" w:styleId="305">
    <w:name w:val="Char Char Char"/>
    <w:basedOn w:val="1"/>
    <w:qFormat/>
    <w:uiPriority w:val="0"/>
    <w:pPr>
      <w:adjustRightInd w:val="0"/>
      <w:spacing w:line="360" w:lineRule="auto"/>
    </w:pPr>
    <w:rPr>
      <w:color w:val="000000"/>
      <w:sz w:val="24"/>
    </w:rPr>
  </w:style>
  <w:style w:type="paragraph" w:customStyle="1" w:styleId="306">
    <w:name w:val="样式 普通(网站) + 仿宋_GB2312 段前: 自动 段后: 自动 行距: 1.5 倍行距1"/>
    <w:basedOn w:val="1"/>
    <w:qFormat/>
    <w:uiPriority w:val="0"/>
    <w:pPr>
      <w:tabs>
        <w:tab w:val="left" w:pos="1134"/>
      </w:tabs>
      <w:spacing w:after="120"/>
      <w:ind w:left="1134" w:hanging="294"/>
    </w:pPr>
    <w:rPr>
      <w:rFonts w:ascii="Arial" w:hAnsi="Arial" w:cs="Arial"/>
      <w:sz w:val="20"/>
      <w:szCs w:val="28"/>
    </w:rPr>
  </w:style>
  <w:style w:type="paragraph" w:customStyle="1" w:styleId="307">
    <w:name w:val="xl15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rPr>
  </w:style>
  <w:style w:type="paragraph" w:customStyle="1" w:styleId="308">
    <w:name w:val="xl15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rPr>
  </w:style>
  <w:style w:type="paragraph" w:customStyle="1" w:styleId="309">
    <w:name w:val="xl216"/>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10">
    <w:name w:val="xl8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11">
    <w:name w:val="xl113"/>
    <w:basedOn w:val="1"/>
    <w:qFormat/>
    <w:uiPriority w:val="0"/>
    <w:pPr>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pPr>
    <w:rPr>
      <w:rFonts w:ascii="宋体" w:hAnsi="宋体" w:cs="宋体"/>
      <w:sz w:val="20"/>
    </w:rPr>
  </w:style>
  <w:style w:type="paragraph" w:customStyle="1" w:styleId="312">
    <w:name w:val="Body"/>
    <w:basedOn w:val="1"/>
    <w:qFormat/>
    <w:uiPriority w:val="0"/>
    <w:pPr>
      <w:spacing w:before="60" w:after="60"/>
      <w:ind w:left="360" w:right="360"/>
    </w:pPr>
    <w:rPr>
      <w:rFonts w:ascii="Garamond" w:hAnsi="Garamond"/>
      <w:kern w:val="1"/>
      <w:sz w:val="24"/>
      <w:szCs w:val="24"/>
    </w:rPr>
  </w:style>
  <w:style w:type="paragraph" w:customStyle="1" w:styleId="313">
    <w:name w:val="xl16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rPr>
  </w:style>
  <w:style w:type="paragraph" w:customStyle="1" w:styleId="314">
    <w:name w:val="xl185"/>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315">
    <w:name w:val="tableheading"/>
    <w:basedOn w:val="1"/>
    <w:qFormat/>
    <w:uiPriority w:val="0"/>
    <w:pPr>
      <w:spacing w:line="300" w:lineRule="atLeast"/>
    </w:pPr>
    <w:rPr>
      <w:rFonts w:ascii="宋体" w:hAnsi="宋体" w:cs="宋体"/>
      <w:sz w:val="18"/>
      <w:szCs w:val="18"/>
    </w:rPr>
  </w:style>
  <w:style w:type="paragraph" w:customStyle="1" w:styleId="316">
    <w:name w:val="注："/>
    <w:next w:val="226"/>
    <w:qFormat/>
    <w:uiPriority w:val="0"/>
    <w:pPr>
      <w:widowControl w:val="0"/>
      <w:numPr>
        <w:ilvl w:val="0"/>
        <w:numId w:val="19"/>
      </w:numPr>
      <w:autoSpaceDE w:val="0"/>
      <w:autoSpaceDN w:val="0"/>
      <w:spacing w:after="200" w:line="276" w:lineRule="auto"/>
      <w:jc w:val="both"/>
    </w:pPr>
    <w:rPr>
      <w:rFonts w:ascii="宋体" w:hAnsi="Calibri" w:eastAsia="宋体" w:cs="Times New Roman"/>
      <w:sz w:val="18"/>
      <w:szCs w:val="22"/>
      <w:lang w:val="en-US" w:eastAsia="zh-CN" w:bidi="ar-SA"/>
    </w:rPr>
  </w:style>
  <w:style w:type="paragraph" w:customStyle="1" w:styleId="317">
    <w:name w:val="表正文中"/>
    <w:qFormat/>
    <w:uiPriority w:val="0"/>
    <w:pPr>
      <w:spacing w:after="200" w:line="276" w:lineRule="auto"/>
      <w:jc w:val="center"/>
    </w:pPr>
    <w:rPr>
      <w:rFonts w:ascii="Arial" w:hAnsi="Arial" w:eastAsia="宋体" w:cs="Times New Roman"/>
      <w:kern w:val="2"/>
      <w:sz w:val="18"/>
      <w:szCs w:val="24"/>
      <w:lang w:val="en-US" w:eastAsia="zh-CN" w:bidi="ar-SA"/>
    </w:rPr>
  </w:style>
  <w:style w:type="paragraph" w:customStyle="1" w:styleId="318">
    <w:name w:val="xl147"/>
    <w:basedOn w:val="1"/>
    <w:qFormat/>
    <w:uiPriority w:val="0"/>
    <w:pPr>
      <w:pBdr>
        <w:bottom w:val="single" w:color="000000" w:sz="4" w:space="0"/>
      </w:pBdr>
      <w:spacing w:before="100" w:beforeAutospacing="1" w:after="100" w:afterAutospacing="1"/>
      <w:jc w:val="right"/>
    </w:pPr>
    <w:rPr>
      <w:rFonts w:ascii="宋体" w:hAnsi="宋体" w:cs="宋体"/>
      <w:sz w:val="24"/>
      <w:szCs w:val="24"/>
    </w:rPr>
  </w:style>
  <w:style w:type="paragraph" w:customStyle="1" w:styleId="319">
    <w:name w:val="Char Char1 Char Char Char Char Char Char"/>
    <w:basedOn w:val="1"/>
    <w:qFormat/>
    <w:uiPriority w:val="0"/>
    <w:pPr>
      <w:spacing w:after="160" w:line="240" w:lineRule="exact"/>
    </w:pPr>
    <w:rPr>
      <w:rFonts w:ascii="Verdana" w:hAnsi="Verdana" w:eastAsia="仿宋_GB2312"/>
      <w:sz w:val="24"/>
    </w:rPr>
  </w:style>
  <w:style w:type="paragraph" w:customStyle="1" w:styleId="320">
    <w:name w:val="Default Text"/>
    <w:basedOn w:val="1"/>
    <w:qFormat/>
    <w:uiPriority w:val="0"/>
    <w:rPr>
      <w:rFonts w:ascii="Tahoma" w:hAnsi="Tahoma" w:cs="Tahoma"/>
      <w:sz w:val="24"/>
      <w:szCs w:val="24"/>
    </w:rPr>
  </w:style>
  <w:style w:type="paragraph" w:customStyle="1" w:styleId="321">
    <w:name w:val="xl15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FF0000"/>
    </w:rPr>
  </w:style>
  <w:style w:type="paragraph" w:customStyle="1" w:styleId="322">
    <w:name w:val="列表4"/>
    <w:basedOn w:val="323"/>
    <w:qFormat/>
    <w:uiPriority w:val="0"/>
    <w:pPr>
      <w:tabs>
        <w:tab w:val="left" w:pos="360"/>
        <w:tab w:val="left" w:pos="840"/>
      </w:tabs>
    </w:pPr>
  </w:style>
  <w:style w:type="paragraph" w:customStyle="1" w:styleId="323">
    <w:name w:val="列表3"/>
    <w:basedOn w:val="1"/>
    <w:qFormat/>
    <w:uiPriority w:val="0"/>
    <w:pPr>
      <w:tabs>
        <w:tab w:val="left" w:pos="360"/>
        <w:tab w:val="left" w:pos="840"/>
      </w:tabs>
      <w:spacing w:before="78" w:after="78"/>
    </w:pPr>
  </w:style>
  <w:style w:type="paragraph" w:customStyle="1" w:styleId="324">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25">
    <w:name w:val="xl14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b/>
      <w:bCs/>
      <w:color w:val="000000"/>
    </w:rPr>
  </w:style>
  <w:style w:type="paragraph" w:customStyle="1" w:styleId="326">
    <w:name w:val="Char"/>
    <w:basedOn w:val="1"/>
    <w:qFormat/>
    <w:uiPriority w:val="0"/>
    <w:pPr>
      <w:spacing w:after="160" w:line="240" w:lineRule="exact"/>
    </w:pPr>
    <w:rPr>
      <w:rFonts w:ascii="Verdana" w:hAnsi="Verdana" w:cs="宋体"/>
      <w:sz w:val="20"/>
      <w:szCs w:val="28"/>
    </w:rPr>
  </w:style>
  <w:style w:type="paragraph" w:customStyle="1" w:styleId="327">
    <w:name w:val="xl204"/>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32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329">
    <w:name w:val="缺省文本"/>
    <w:basedOn w:val="1"/>
    <w:qFormat/>
    <w:uiPriority w:val="0"/>
    <w:pPr>
      <w:tabs>
        <w:tab w:val="left" w:pos="0"/>
      </w:tabs>
      <w:topLinePunct/>
      <w:autoSpaceDE w:val="0"/>
      <w:autoSpaceDN w:val="0"/>
      <w:adjustRightInd w:val="0"/>
      <w:spacing w:before="40" w:after="40" w:line="440" w:lineRule="exact"/>
      <w:ind w:left="72" w:leftChars="30" w:right="62" w:firstLine="505"/>
    </w:pPr>
    <w:rPr>
      <w:rFonts w:ascii="宋体" w:hAnsi="宋体"/>
      <w:color w:val="000000"/>
      <w:sz w:val="24"/>
    </w:rPr>
  </w:style>
  <w:style w:type="paragraph" w:customStyle="1" w:styleId="330">
    <w:name w:val="项目"/>
    <w:basedOn w:val="1"/>
    <w:qFormat/>
    <w:uiPriority w:val="0"/>
    <w:pPr>
      <w:autoSpaceDE w:val="0"/>
      <w:autoSpaceDN w:val="0"/>
      <w:adjustRightInd w:val="0"/>
      <w:spacing w:line="240" w:lineRule="atLeast"/>
      <w:ind w:left="425" w:leftChars="30" w:hanging="425"/>
      <w:textAlignment w:val="baseline"/>
    </w:pPr>
    <w:rPr>
      <w:rFonts w:ascii="宋体" w:hAnsi="Tms Rmn"/>
      <w:sz w:val="24"/>
    </w:rPr>
  </w:style>
  <w:style w:type="paragraph" w:customStyle="1" w:styleId="33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rPr>
  </w:style>
  <w:style w:type="paragraph" w:customStyle="1" w:styleId="332">
    <w:name w:val="xl144"/>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jc w:val="center"/>
    </w:pPr>
    <w:rPr>
      <w:rFonts w:ascii="宋体" w:hAnsi="宋体" w:cs="宋体"/>
      <w:b/>
      <w:bCs/>
      <w:color w:val="000000"/>
      <w:sz w:val="24"/>
      <w:szCs w:val="24"/>
    </w:rPr>
  </w:style>
  <w:style w:type="paragraph" w:customStyle="1" w:styleId="333">
    <w:name w:val="LOX Title"/>
    <w:basedOn w:val="1"/>
    <w:qFormat/>
    <w:uiPriority w:val="0"/>
    <w:pPr>
      <w:keepNext/>
      <w:tabs>
        <w:tab w:val="left" w:pos="360"/>
      </w:tabs>
      <w:spacing w:before="240" w:after="240"/>
      <w:outlineLvl w:val="0"/>
    </w:pPr>
    <w:rPr>
      <w:rFonts w:ascii="Arial" w:hAnsi="Arial"/>
      <w:b/>
      <w:iCs/>
      <w:snapToGrid w:val="0"/>
      <w:color w:val="000000"/>
      <w:sz w:val="28"/>
    </w:rPr>
  </w:style>
  <w:style w:type="paragraph" w:customStyle="1" w:styleId="334">
    <w:name w:val="Table Caption"/>
    <w:basedOn w:val="9"/>
    <w:next w:val="1"/>
    <w:qFormat/>
    <w:uiPriority w:val="0"/>
    <w:pPr>
      <w:keepNext w:val="0"/>
      <w:keepLines w:val="0"/>
      <w:numPr>
        <w:ilvl w:val="0"/>
        <w:numId w:val="20"/>
      </w:numPr>
      <w:tabs>
        <w:tab w:val="left" w:pos="360"/>
        <w:tab w:val="clear" w:pos="1440"/>
      </w:tabs>
      <w:spacing w:after="60" w:line="240" w:lineRule="auto"/>
      <w:jc w:val="center"/>
    </w:pPr>
    <w:rPr>
      <w:rFonts w:ascii="Arial" w:hAnsi="Arial"/>
      <w:sz w:val="22"/>
    </w:rPr>
  </w:style>
  <w:style w:type="paragraph" w:customStyle="1" w:styleId="335">
    <w:name w:val="xl17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b/>
      <w:bCs/>
    </w:rPr>
  </w:style>
  <w:style w:type="paragraph" w:customStyle="1" w:styleId="33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3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8">
    <w:name w:val="xl18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339">
    <w:name w:val="正文序号"/>
    <w:basedOn w:val="61"/>
    <w:qFormat/>
    <w:uiPriority w:val="0"/>
    <w:pPr>
      <w:numPr>
        <w:ilvl w:val="0"/>
        <w:numId w:val="21"/>
      </w:numPr>
      <w:tabs>
        <w:tab w:val="left" w:pos="360"/>
        <w:tab w:val="left" w:pos="720"/>
        <w:tab w:val="clear" w:pos="840"/>
      </w:tabs>
      <w:ind w:left="0" w:firstLine="420"/>
    </w:pPr>
    <w:rPr>
      <w:rFonts w:ascii="Times New Roman" w:hAnsi="Times New Roman"/>
      <w:szCs w:val="24"/>
    </w:rPr>
  </w:style>
  <w:style w:type="paragraph" w:customStyle="1" w:styleId="340">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sz w:val="24"/>
      <w:szCs w:val="24"/>
    </w:rPr>
  </w:style>
  <w:style w:type="paragraph" w:customStyle="1" w:styleId="341">
    <w:name w:val="xl137"/>
    <w:basedOn w:val="1"/>
    <w:qFormat/>
    <w:uiPriority w:val="0"/>
    <w:pPr>
      <w:spacing w:before="100" w:beforeAutospacing="1" w:after="100" w:afterAutospacing="1"/>
      <w:textAlignment w:val="top"/>
    </w:pPr>
    <w:rPr>
      <w:rFonts w:ascii="Arial" w:hAnsi="Arial" w:cs="Arial"/>
      <w:sz w:val="24"/>
      <w:szCs w:val="24"/>
    </w:rPr>
  </w:style>
  <w:style w:type="paragraph" w:customStyle="1" w:styleId="342">
    <w:name w:val="my-title"/>
    <w:basedOn w:val="1"/>
    <w:qFormat/>
    <w:uiPriority w:val="0"/>
    <w:pPr>
      <w:spacing w:before="100" w:beforeAutospacing="1" w:after="100" w:afterAutospacing="1"/>
    </w:pPr>
    <w:rPr>
      <w:rFonts w:ascii="宋体" w:hAnsi="宋体" w:cs="宋体"/>
      <w:sz w:val="24"/>
      <w:szCs w:val="24"/>
    </w:rPr>
  </w:style>
  <w:style w:type="paragraph" w:customStyle="1" w:styleId="343">
    <w:name w:val="Normal_UserEntry"/>
    <w:basedOn w:val="1"/>
    <w:qFormat/>
    <w:uiPriority w:val="0"/>
    <w:rPr>
      <w:rFonts w:ascii="Futura Bk" w:hAnsi="Futura Bk"/>
      <w:color w:val="FF0000"/>
      <w:sz w:val="20"/>
    </w:rPr>
  </w:style>
  <w:style w:type="paragraph" w:customStyle="1" w:styleId="344">
    <w:name w:val="a3"/>
    <w:basedOn w:val="1"/>
    <w:qFormat/>
    <w:uiPriority w:val="0"/>
    <w:pPr>
      <w:spacing w:before="100" w:beforeAutospacing="1" w:after="100" w:afterAutospacing="1" w:line="240" w:lineRule="atLeast"/>
    </w:pPr>
    <w:rPr>
      <w:rFonts w:ascii="宋体" w:hAnsi="宋体" w:cs="宋体"/>
      <w:sz w:val="18"/>
      <w:szCs w:val="18"/>
    </w:rPr>
  </w:style>
  <w:style w:type="paragraph" w:customStyle="1" w:styleId="345">
    <w:name w:val="xl9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46">
    <w:name w:val="xl108"/>
    <w:basedOn w:val="1"/>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w:hAnsi="Arial" w:cs="Arial"/>
      <w:b/>
      <w:bCs/>
      <w:sz w:val="18"/>
      <w:szCs w:val="18"/>
    </w:rPr>
  </w:style>
  <w:style w:type="paragraph" w:customStyle="1" w:styleId="347">
    <w:name w:val="应答"/>
    <w:basedOn w:val="1"/>
    <w:qFormat/>
    <w:uiPriority w:val="0"/>
    <w:pPr>
      <w:spacing w:before="120" w:after="120" w:line="288" w:lineRule="auto"/>
      <w:ind w:left="624" w:hanging="624"/>
    </w:pPr>
    <w:rPr>
      <w:rFonts w:eastAsia="黑体"/>
      <w:bCs/>
      <w:szCs w:val="24"/>
    </w:rPr>
  </w:style>
  <w:style w:type="paragraph" w:customStyle="1" w:styleId="348">
    <w:name w:val="要点1"/>
    <w:basedOn w:val="1"/>
    <w:qFormat/>
    <w:uiPriority w:val="0"/>
    <w:pPr>
      <w:autoSpaceDE w:val="0"/>
      <w:autoSpaceDN w:val="0"/>
      <w:adjustRightInd w:val="0"/>
      <w:spacing w:line="240" w:lineRule="atLeast"/>
      <w:ind w:left="425" w:leftChars="30" w:hanging="425"/>
      <w:textAlignment w:val="baseline"/>
    </w:pPr>
    <w:rPr>
      <w:rFonts w:ascii="宋体" w:hAnsi="Tms Rmn"/>
      <w:b/>
      <w:sz w:val="24"/>
    </w:rPr>
  </w:style>
  <w:style w:type="paragraph" w:customStyle="1" w:styleId="349">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5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351">
    <w:name w:val="215"/>
    <w:basedOn w:val="1"/>
    <w:qFormat/>
    <w:uiPriority w:val="0"/>
    <w:pPr>
      <w:spacing w:before="100" w:beforeAutospacing="1" w:after="100" w:afterAutospacing="1" w:line="240" w:lineRule="atLeast"/>
    </w:pPr>
    <w:rPr>
      <w:rFonts w:ascii="宋体" w:hAnsi="宋体" w:cs="宋体"/>
      <w:sz w:val="18"/>
      <w:szCs w:val="18"/>
    </w:rPr>
  </w:style>
  <w:style w:type="paragraph" w:customStyle="1" w:styleId="352">
    <w:name w:val="my-style"/>
    <w:basedOn w:val="1"/>
    <w:qFormat/>
    <w:uiPriority w:val="0"/>
    <w:pPr>
      <w:spacing w:before="100" w:beforeAutospacing="1" w:after="100" w:afterAutospacing="1" w:line="300" w:lineRule="atLeast"/>
    </w:pPr>
    <w:rPr>
      <w:rFonts w:ascii="宋体" w:hAnsi="宋体" w:cs="宋体"/>
      <w:color w:val="000000"/>
      <w:sz w:val="20"/>
    </w:rPr>
  </w:style>
  <w:style w:type="paragraph" w:customStyle="1" w:styleId="353">
    <w:name w:val="xl3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b/>
      <w:bCs/>
    </w:rPr>
  </w:style>
  <w:style w:type="paragraph" w:customStyle="1" w:styleId="354">
    <w:name w:val="xl165"/>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55">
    <w:name w:val="tabledescription"/>
    <w:basedOn w:val="1"/>
    <w:qFormat/>
    <w:uiPriority w:val="0"/>
    <w:pPr>
      <w:spacing w:line="300" w:lineRule="atLeast"/>
    </w:pPr>
    <w:rPr>
      <w:rFonts w:ascii="宋体" w:hAnsi="宋体" w:cs="宋体"/>
      <w:sz w:val="18"/>
      <w:szCs w:val="18"/>
    </w:rPr>
  </w:style>
  <w:style w:type="paragraph" w:customStyle="1" w:styleId="35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7">
    <w:name w:val="È±Ê¡ÎÄ±¾"/>
    <w:basedOn w:val="1"/>
    <w:qFormat/>
    <w:uiPriority w:val="0"/>
    <w:pPr>
      <w:overflowPunct w:val="0"/>
      <w:autoSpaceDE w:val="0"/>
      <w:autoSpaceDN w:val="0"/>
      <w:adjustRightInd w:val="0"/>
      <w:textAlignment w:val="baseline"/>
    </w:pPr>
    <w:rPr>
      <w:sz w:val="24"/>
    </w:rPr>
  </w:style>
  <w:style w:type="paragraph" w:customStyle="1" w:styleId="358">
    <w:name w:val="xl8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35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60">
    <w:name w:val="xl187"/>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361">
    <w:name w:val="样式 标题 3 + Times New Roman 段前: 5 磅 行距: 多倍行距 1.73 字行"/>
    <w:basedOn w:val="5"/>
    <w:qFormat/>
    <w:uiPriority w:val="0"/>
    <w:pPr>
      <w:keepLines w:val="0"/>
      <w:pBdr>
        <w:bottom w:val="single" w:color="auto" w:sz="4" w:space="1"/>
      </w:pBdr>
      <w:tabs>
        <w:tab w:val="left" w:pos="900"/>
      </w:tabs>
      <w:spacing w:before="100" w:line="415" w:lineRule="auto"/>
    </w:pPr>
    <w:rPr>
      <w:rFonts w:cs="Arial"/>
      <w:sz w:val="26"/>
      <w:szCs w:val="26"/>
    </w:rPr>
  </w:style>
  <w:style w:type="paragraph" w:customStyle="1" w:styleId="362">
    <w:name w:val="开始文字"/>
    <w:basedOn w:val="1"/>
    <w:qFormat/>
    <w:uiPriority w:val="0"/>
    <w:pPr>
      <w:suppressAutoHyphens/>
      <w:autoSpaceDE w:val="0"/>
      <w:autoSpaceDN w:val="0"/>
      <w:adjustRightInd w:val="0"/>
      <w:spacing w:after="113" w:line="360" w:lineRule="atLeast"/>
      <w:textAlignment w:val="center"/>
    </w:pPr>
    <w:rPr>
      <w:rFonts w:ascii="ATC-6c494eea59279ed17b80*+Arial" w:eastAsia="ATC-6c494eea59279ed17b80*+Arial"/>
      <w:color w:val="4181C2"/>
      <w:sz w:val="24"/>
      <w:szCs w:val="24"/>
      <w:lang w:val="zh-CN"/>
    </w:rPr>
  </w:style>
  <w:style w:type="paragraph" w:customStyle="1" w:styleId="363">
    <w:name w:val="xl19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364">
    <w:name w:val="xl2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65">
    <w:name w:val="黑列表"/>
    <w:basedOn w:val="1"/>
    <w:qFormat/>
    <w:uiPriority w:val="0"/>
    <w:pPr>
      <w:tabs>
        <w:tab w:val="left" w:pos="1200"/>
      </w:tabs>
      <w:adjustRightInd w:val="0"/>
      <w:spacing w:line="300" w:lineRule="auto"/>
      <w:ind w:left="300" w:leftChars="200" w:hanging="100" w:hangingChars="100"/>
    </w:pPr>
    <w:rPr>
      <w:bCs/>
      <w:sz w:val="24"/>
    </w:rPr>
  </w:style>
  <w:style w:type="paragraph" w:customStyle="1" w:styleId="366">
    <w:name w:val="要点文字"/>
    <w:basedOn w:val="1"/>
    <w:qFormat/>
    <w:uiPriority w:val="0"/>
    <w:pPr>
      <w:tabs>
        <w:tab w:val="left" w:pos="170"/>
      </w:tabs>
      <w:suppressAutoHyphens/>
      <w:autoSpaceDE w:val="0"/>
      <w:autoSpaceDN w:val="0"/>
      <w:adjustRightInd w:val="0"/>
      <w:spacing w:after="227" w:line="360" w:lineRule="atLeast"/>
      <w:ind w:left="170" w:hanging="170"/>
      <w:textAlignment w:val="center"/>
    </w:pPr>
    <w:rPr>
      <w:rFonts w:ascii="ATC-6c494eea59279ed17b80*+Arial" w:eastAsia="ATC-6c494eea59279ed17b80*+Arial"/>
      <w:color w:val="000000"/>
      <w:sz w:val="20"/>
      <w:lang w:val="zh-CN"/>
    </w:rPr>
  </w:style>
  <w:style w:type="paragraph" w:customStyle="1" w:styleId="367">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368">
    <w:name w:val="列表 21"/>
    <w:basedOn w:val="1"/>
    <w:qFormat/>
    <w:uiPriority w:val="0"/>
    <w:pPr>
      <w:tabs>
        <w:tab w:val="left" w:pos="1175"/>
      </w:tabs>
      <w:spacing w:line="400" w:lineRule="exact"/>
      <w:ind w:left="1175" w:leftChars="30" w:hanging="420"/>
    </w:pPr>
    <w:rPr>
      <w:rFonts w:ascii="宋体" w:hAnsi="宋体"/>
      <w:sz w:val="24"/>
      <w:szCs w:val="18"/>
    </w:rPr>
  </w:style>
  <w:style w:type="paragraph" w:customStyle="1" w:styleId="369">
    <w:name w:val="xl17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70">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371">
    <w:name w:val="列表 1"/>
    <w:qFormat/>
    <w:uiPriority w:val="0"/>
    <w:pPr>
      <w:tabs>
        <w:tab w:val="left" w:pos="840"/>
      </w:tabs>
      <w:spacing w:beforeLines="50" w:after="200" w:line="276" w:lineRule="auto"/>
      <w:ind w:left="840" w:hanging="420"/>
    </w:pPr>
    <w:rPr>
      <w:rFonts w:ascii="Calibri" w:hAnsi="Calibri" w:eastAsia="楷体_GB2312" w:cs="Times New Roman"/>
      <w:sz w:val="24"/>
      <w:szCs w:val="22"/>
      <w:lang w:val="en-US" w:eastAsia="zh-CN" w:bidi="ar-SA"/>
    </w:rPr>
  </w:style>
  <w:style w:type="paragraph" w:customStyle="1" w:styleId="372">
    <w:name w:val="样式 首行缩进:  2 字符"/>
    <w:basedOn w:val="1"/>
    <w:qFormat/>
    <w:uiPriority w:val="0"/>
    <w:pPr>
      <w:spacing w:line="360" w:lineRule="auto"/>
      <w:ind w:firstLine="480" w:firstLineChars="200"/>
    </w:pPr>
    <w:rPr>
      <w:sz w:val="24"/>
    </w:rPr>
  </w:style>
  <w:style w:type="paragraph" w:customStyle="1" w:styleId="373">
    <w:name w:val="列表编号 51"/>
    <w:basedOn w:val="1"/>
    <w:qFormat/>
    <w:uiPriority w:val="0"/>
    <w:pPr>
      <w:numPr>
        <w:ilvl w:val="0"/>
        <w:numId w:val="22"/>
      </w:numPr>
    </w:pPr>
    <w:rPr>
      <w:szCs w:val="24"/>
    </w:rPr>
  </w:style>
  <w:style w:type="paragraph" w:customStyle="1" w:styleId="374">
    <w:name w:val="xl106"/>
    <w:basedOn w:val="1"/>
    <w:qFormat/>
    <w:uiPriority w:val="0"/>
    <w:pPr>
      <w:spacing w:before="100" w:beforeAutospacing="1" w:after="100" w:afterAutospacing="1"/>
      <w:textAlignment w:val="bottom"/>
    </w:pPr>
    <w:rPr>
      <w:rFonts w:ascii="宋体" w:hAnsi="宋体" w:cs="宋体"/>
      <w:sz w:val="24"/>
      <w:szCs w:val="24"/>
    </w:rPr>
  </w:style>
  <w:style w:type="paragraph" w:customStyle="1" w:styleId="375">
    <w:name w:val="boxblue"/>
    <w:basedOn w:val="1"/>
    <w:qFormat/>
    <w:uiPriority w:val="0"/>
    <w:pPr>
      <w:spacing w:before="100" w:beforeAutospacing="1" w:after="100" w:afterAutospacing="1"/>
    </w:pPr>
    <w:rPr>
      <w:rFonts w:ascii="宋体" w:hAnsi="宋体" w:cs="宋体"/>
      <w:sz w:val="24"/>
      <w:szCs w:val="24"/>
    </w:rPr>
  </w:style>
  <w:style w:type="paragraph" w:customStyle="1" w:styleId="376">
    <w:name w:val="普通(网站)1"/>
    <w:basedOn w:val="1"/>
    <w:qFormat/>
    <w:uiPriority w:val="0"/>
    <w:pPr>
      <w:spacing w:before="100" w:beforeAutospacing="1" w:after="100" w:afterAutospacing="1"/>
    </w:pPr>
    <w:rPr>
      <w:rFonts w:ascii="宋体" w:hAnsi="宋体" w:cs="宋体"/>
      <w:sz w:val="24"/>
    </w:rPr>
  </w:style>
  <w:style w:type="paragraph" w:customStyle="1" w:styleId="377">
    <w:name w:val="Table_Medium"/>
    <w:basedOn w:val="1"/>
    <w:qFormat/>
    <w:uiPriority w:val="0"/>
    <w:pPr>
      <w:spacing w:before="40" w:after="40"/>
    </w:pPr>
    <w:rPr>
      <w:rFonts w:ascii="Futura Bk" w:hAnsi="Futura Bk"/>
      <w:sz w:val="18"/>
    </w:rPr>
  </w:style>
  <w:style w:type="paragraph" w:customStyle="1" w:styleId="378">
    <w:name w:val="列表编号 21"/>
    <w:basedOn w:val="1"/>
    <w:qFormat/>
    <w:uiPriority w:val="0"/>
    <w:pPr>
      <w:numPr>
        <w:ilvl w:val="0"/>
        <w:numId w:val="23"/>
      </w:numPr>
    </w:pPr>
    <w:rPr>
      <w:szCs w:val="24"/>
    </w:rPr>
  </w:style>
  <w:style w:type="paragraph" w:customStyle="1" w:styleId="379">
    <w:name w:val="列表编号 41"/>
    <w:basedOn w:val="1"/>
    <w:qFormat/>
    <w:uiPriority w:val="0"/>
    <w:pPr>
      <w:numPr>
        <w:ilvl w:val="0"/>
        <w:numId w:val="24"/>
      </w:numPr>
    </w:pPr>
    <w:rPr>
      <w:szCs w:val="24"/>
    </w:rPr>
  </w:style>
  <w:style w:type="paragraph" w:customStyle="1" w:styleId="380">
    <w:name w:val="style19"/>
    <w:basedOn w:val="1"/>
    <w:qFormat/>
    <w:uiPriority w:val="0"/>
    <w:pPr>
      <w:spacing w:before="100" w:beforeAutospacing="1" w:after="100" w:afterAutospacing="1"/>
    </w:pPr>
    <w:rPr>
      <w:rFonts w:ascii="宋体" w:hAnsi="宋体" w:cs="宋体"/>
      <w:sz w:val="18"/>
      <w:szCs w:val="18"/>
    </w:rPr>
  </w:style>
  <w:style w:type="paragraph" w:customStyle="1" w:styleId="381">
    <w:name w:val="样式 DHCC 公司正文首行缩进:  2 字符"/>
    <w:basedOn w:val="1"/>
    <w:qFormat/>
    <w:uiPriority w:val="0"/>
    <w:pPr>
      <w:spacing w:line="360" w:lineRule="auto"/>
      <w:ind w:firstLine="200" w:firstLineChars="200"/>
    </w:pPr>
  </w:style>
  <w:style w:type="paragraph" w:customStyle="1" w:styleId="382">
    <w:name w:val="真正正文首行缩进2字符 + 左侧:  0 厘米1"/>
    <w:basedOn w:val="1"/>
    <w:qFormat/>
    <w:uiPriority w:val="0"/>
    <w:pPr>
      <w:spacing w:line="360" w:lineRule="auto"/>
      <w:ind w:firstLine="480"/>
    </w:pPr>
    <w:rPr>
      <w:rFonts w:cs="宋体"/>
      <w:sz w:val="24"/>
    </w:rPr>
  </w:style>
  <w:style w:type="paragraph" w:customStyle="1" w:styleId="383">
    <w:name w:val="列表接续1"/>
    <w:basedOn w:val="1"/>
    <w:qFormat/>
    <w:uiPriority w:val="0"/>
    <w:pPr>
      <w:spacing w:after="120" w:line="400" w:lineRule="exact"/>
      <w:ind w:left="420" w:leftChars="200" w:firstLine="108"/>
    </w:pPr>
    <w:rPr>
      <w:rFonts w:ascii="宋体" w:hAnsi="宋体"/>
      <w:sz w:val="24"/>
      <w:szCs w:val="18"/>
    </w:rPr>
  </w:style>
  <w:style w:type="paragraph" w:customStyle="1" w:styleId="384">
    <w:name w:val="表格文字"/>
    <w:basedOn w:val="51"/>
    <w:qFormat/>
    <w:uiPriority w:val="0"/>
    <w:pPr>
      <w:spacing w:before="20" w:after="20" w:line="240" w:lineRule="auto"/>
      <w:ind w:firstLine="0" w:firstLineChars="0"/>
    </w:pPr>
    <w:rPr>
      <w:rFonts w:ascii="Century Gothic" w:hAnsi="Century Gothic"/>
      <w:sz w:val="20"/>
    </w:rPr>
  </w:style>
  <w:style w:type="paragraph" w:customStyle="1" w:styleId="385">
    <w:name w:val="font9"/>
    <w:basedOn w:val="1"/>
    <w:qFormat/>
    <w:uiPriority w:val="0"/>
    <w:pPr>
      <w:spacing w:before="100" w:beforeAutospacing="1" w:after="100" w:afterAutospacing="1"/>
    </w:pPr>
    <w:rPr>
      <w:rFonts w:ascii="Arial" w:hAnsi="Arial" w:cs="Arial"/>
      <w:color w:val="000000"/>
      <w:sz w:val="18"/>
      <w:szCs w:val="18"/>
    </w:rPr>
  </w:style>
  <w:style w:type="paragraph" w:customStyle="1" w:styleId="386">
    <w:name w:val="前言、引言标题"/>
    <w:next w:val="1"/>
    <w:qFormat/>
    <w:uiPriority w:val="0"/>
    <w:pPr>
      <w:numPr>
        <w:ilvl w:val="0"/>
        <w:numId w:val="25"/>
      </w:numPr>
      <w:shd w:val="clear" w:color="FFFFFF" w:fill="FFFFFF"/>
      <w:spacing w:before="640" w:after="560" w:line="276" w:lineRule="auto"/>
      <w:jc w:val="center"/>
      <w:outlineLvl w:val="0"/>
    </w:pPr>
    <w:rPr>
      <w:rFonts w:ascii="黑体" w:hAnsi="Calibri" w:eastAsia="黑体" w:cs="Times New Roman"/>
      <w:sz w:val="32"/>
      <w:szCs w:val="22"/>
      <w:lang w:val="en-US" w:eastAsia="zh-CN" w:bidi="ar-SA"/>
    </w:rPr>
  </w:style>
  <w:style w:type="paragraph" w:customStyle="1" w:styleId="387">
    <w:name w:val="Table Text"/>
    <w:basedOn w:val="1"/>
    <w:qFormat/>
    <w:uiPriority w:val="0"/>
    <w:pPr>
      <w:spacing w:before="60" w:after="60"/>
    </w:pPr>
    <w:rPr>
      <w:szCs w:val="24"/>
    </w:rPr>
  </w:style>
  <w:style w:type="paragraph" w:customStyle="1" w:styleId="388">
    <w:name w:val="图文"/>
    <w:basedOn w:val="1"/>
    <w:qFormat/>
    <w:uiPriority w:val="0"/>
    <w:pPr>
      <w:adjustRightInd w:val="0"/>
      <w:snapToGrid w:val="0"/>
      <w:spacing w:after="50" w:line="360" w:lineRule="auto"/>
    </w:pPr>
    <w:rPr>
      <w:sz w:val="24"/>
      <w:szCs w:val="24"/>
    </w:rPr>
  </w:style>
  <w:style w:type="paragraph" w:customStyle="1" w:styleId="389">
    <w:name w:val="三级无标题条"/>
    <w:basedOn w:val="1"/>
    <w:qFormat/>
    <w:uiPriority w:val="0"/>
    <w:pPr>
      <w:numPr>
        <w:ilvl w:val="0"/>
        <w:numId w:val="26"/>
      </w:numPr>
      <w:ind w:left="0" w:firstLine="0"/>
    </w:pPr>
    <w:rPr>
      <w:szCs w:val="24"/>
    </w:rPr>
  </w:style>
  <w:style w:type="paragraph" w:customStyle="1" w:styleId="390">
    <w:name w:val="font11"/>
    <w:basedOn w:val="1"/>
    <w:qFormat/>
    <w:uiPriority w:val="0"/>
    <w:pPr>
      <w:spacing w:before="100" w:beforeAutospacing="1" w:after="100" w:afterAutospacing="1"/>
    </w:pPr>
    <w:rPr>
      <w:rFonts w:ascii="宋体" w:hAnsi="宋体" w:cs="宋体"/>
      <w:sz w:val="18"/>
      <w:szCs w:val="18"/>
    </w:rPr>
  </w:style>
  <w:style w:type="paragraph" w:customStyle="1" w:styleId="391">
    <w:name w:val="font7"/>
    <w:basedOn w:val="1"/>
    <w:qFormat/>
    <w:uiPriority w:val="0"/>
    <w:pPr>
      <w:spacing w:before="100" w:beforeAutospacing="1" w:after="100" w:afterAutospacing="1"/>
    </w:pPr>
    <w:rPr>
      <w:rFonts w:ascii="Arial" w:hAnsi="Arial" w:cs="Arial"/>
      <w:sz w:val="18"/>
      <w:szCs w:val="18"/>
    </w:rPr>
  </w:style>
  <w:style w:type="paragraph" w:customStyle="1" w:styleId="392">
    <w:name w:val="正文6"/>
    <w:basedOn w:val="1"/>
    <w:qFormat/>
    <w:uiPriority w:val="0"/>
    <w:pPr>
      <w:numPr>
        <w:ilvl w:val="0"/>
        <w:numId w:val="27"/>
      </w:numPr>
      <w:spacing w:before="60" w:after="60" w:line="360" w:lineRule="auto"/>
    </w:pPr>
    <w:rPr>
      <w:sz w:val="24"/>
    </w:rPr>
  </w:style>
  <w:style w:type="paragraph" w:customStyle="1" w:styleId="393">
    <w:name w:val="xl141"/>
    <w:basedOn w:val="1"/>
    <w:qFormat/>
    <w:uiPriority w:val="0"/>
    <w:pPr>
      <w:pBdr>
        <w:bottom w:val="single" w:color="000000" w:sz="4" w:space="0"/>
      </w:pBdr>
      <w:spacing w:before="100" w:beforeAutospacing="1" w:after="100" w:afterAutospacing="1"/>
    </w:pPr>
    <w:rPr>
      <w:rFonts w:ascii="宋体" w:hAnsi="宋体" w:cs="宋体"/>
      <w:b/>
      <w:bCs/>
      <w:color w:val="000000"/>
    </w:rPr>
  </w:style>
  <w:style w:type="paragraph" w:customStyle="1" w:styleId="394">
    <w:name w:val="xl23"/>
    <w:basedOn w:val="1"/>
    <w:qFormat/>
    <w:uiPriority w:val="0"/>
    <w:pPr>
      <w:spacing w:before="100" w:beforeAutospacing="1" w:after="100" w:afterAutospacing="1" w:line="360" w:lineRule="auto"/>
    </w:pPr>
    <w:rPr>
      <w:sz w:val="24"/>
      <w:szCs w:val="24"/>
    </w:rPr>
  </w:style>
  <w:style w:type="paragraph" w:customStyle="1" w:styleId="395">
    <w:name w:val="h1text"/>
    <w:basedOn w:val="1"/>
    <w:qFormat/>
    <w:uiPriority w:val="0"/>
    <w:pPr>
      <w:spacing w:before="100" w:beforeAutospacing="1" w:after="100" w:afterAutospacing="1"/>
    </w:pPr>
    <w:rPr>
      <w:rFonts w:ascii="宋体" w:hAnsi="宋体"/>
      <w:sz w:val="24"/>
      <w:szCs w:val="24"/>
    </w:rPr>
  </w:style>
  <w:style w:type="paragraph" w:customStyle="1" w:styleId="396">
    <w:name w:val="xl111"/>
    <w:basedOn w:val="1"/>
    <w:qFormat/>
    <w:uiPriority w:val="0"/>
    <w:pPr>
      <w:spacing w:before="100" w:beforeAutospacing="1" w:after="100" w:afterAutospacing="1"/>
      <w:textAlignment w:val="bottom"/>
    </w:pPr>
    <w:rPr>
      <w:rFonts w:ascii="宋体" w:hAnsi="宋体" w:cs="宋体"/>
      <w:sz w:val="24"/>
      <w:szCs w:val="24"/>
    </w:rPr>
  </w:style>
  <w:style w:type="paragraph" w:customStyle="1" w:styleId="397">
    <w:name w:val="默认段落字体 Para Char Char Char Char Char Char Char"/>
    <w:basedOn w:val="1"/>
    <w:qFormat/>
    <w:uiPriority w:val="0"/>
    <w:pPr>
      <w:tabs>
        <w:tab w:val="left" w:pos="4665"/>
        <w:tab w:val="left" w:pos="8970"/>
      </w:tabs>
      <w:ind w:firstLine="400"/>
    </w:pPr>
    <w:rPr>
      <w:rFonts w:ascii="Tahoma" w:hAnsi="Tahoma"/>
      <w:sz w:val="24"/>
    </w:rPr>
  </w:style>
  <w:style w:type="paragraph" w:customStyle="1" w:styleId="398">
    <w:name w:val="xl167"/>
    <w:basedOn w:val="1"/>
    <w:qFormat/>
    <w:uiPriority w:val="0"/>
    <w:pPr>
      <w:spacing w:before="100" w:beforeAutospacing="1" w:after="100" w:afterAutospacing="1"/>
    </w:pPr>
    <w:rPr>
      <w:rFonts w:ascii="宋体" w:hAnsi="宋体" w:cs="宋体"/>
      <w:sz w:val="24"/>
      <w:szCs w:val="24"/>
    </w:rPr>
  </w:style>
  <w:style w:type="paragraph" w:customStyle="1" w:styleId="399">
    <w:name w:val="head2"/>
    <w:basedOn w:val="1"/>
    <w:qFormat/>
    <w:uiPriority w:val="0"/>
    <w:pPr>
      <w:spacing w:before="100" w:beforeAutospacing="1" w:after="100" w:afterAutospacing="1"/>
    </w:pPr>
    <w:rPr>
      <w:rFonts w:ascii="宋体" w:hAnsi="宋体" w:cs="宋体"/>
      <w:sz w:val="24"/>
      <w:szCs w:val="24"/>
    </w:rPr>
  </w:style>
  <w:style w:type="paragraph" w:customStyle="1" w:styleId="400">
    <w:name w:val="font13"/>
    <w:basedOn w:val="1"/>
    <w:qFormat/>
    <w:uiPriority w:val="0"/>
    <w:pPr>
      <w:spacing w:before="100" w:beforeAutospacing="1" w:after="100" w:afterAutospacing="1"/>
    </w:pPr>
    <w:rPr>
      <w:rFonts w:ascii="宋体" w:hAnsi="宋体" w:cs="宋体"/>
      <w:sz w:val="18"/>
      <w:szCs w:val="18"/>
    </w:rPr>
  </w:style>
  <w:style w:type="paragraph" w:customStyle="1" w:styleId="401">
    <w:name w:val="font12"/>
    <w:basedOn w:val="1"/>
    <w:qFormat/>
    <w:uiPriority w:val="0"/>
    <w:pPr>
      <w:spacing w:before="100" w:beforeAutospacing="1" w:after="100" w:afterAutospacing="1"/>
    </w:pPr>
    <w:rPr>
      <w:rFonts w:ascii="宋体" w:hAnsi="宋体" w:cs="宋体"/>
      <w:color w:val="000000"/>
      <w:sz w:val="18"/>
      <w:szCs w:val="18"/>
    </w:rPr>
  </w:style>
  <w:style w:type="paragraph" w:customStyle="1" w:styleId="402">
    <w:name w:val="表格标注"/>
    <w:basedOn w:val="1"/>
    <w:qFormat/>
    <w:uiPriority w:val="0"/>
    <w:pPr>
      <w:numPr>
        <w:ilvl w:val="0"/>
        <w:numId w:val="28"/>
      </w:numPr>
      <w:spacing w:line="360" w:lineRule="auto"/>
    </w:pPr>
    <w:rPr>
      <w:szCs w:val="24"/>
    </w:rPr>
  </w:style>
  <w:style w:type="paragraph" w:customStyle="1" w:styleId="403">
    <w:name w:val="p921"/>
    <w:basedOn w:val="1"/>
    <w:qFormat/>
    <w:uiPriority w:val="0"/>
    <w:pPr>
      <w:spacing w:before="100" w:beforeAutospacing="1" w:after="100" w:afterAutospacing="1"/>
    </w:pPr>
    <w:rPr>
      <w:rFonts w:ascii="Arial Unicode MS" w:hAnsi="Arial Unicode MS"/>
      <w:color w:val="000000"/>
      <w:sz w:val="24"/>
      <w:szCs w:val="24"/>
    </w:rPr>
  </w:style>
  <w:style w:type="paragraph" w:customStyle="1" w:styleId="404">
    <w:name w:val="font5"/>
    <w:basedOn w:val="1"/>
    <w:qFormat/>
    <w:uiPriority w:val="0"/>
    <w:pPr>
      <w:spacing w:before="100" w:beforeAutospacing="1" w:after="100" w:afterAutospacing="1"/>
    </w:pPr>
    <w:rPr>
      <w:rFonts w:ascii="宋体" w:hAnsi="宋体" w:cs="宋体"/>
      <w:b/>
      <w:bCs/>
      <w:sz w:val="18"/>
      <w:szCs w:val="18"/>
    </w:rPr>
  </w:style>
  <w:style w:type="paragraph" w:customStyle="1" w:styleId="405">
    <w:name w:val="缩进 Char Char Char Char"/>
    <w:basedOn w:val="61"/>
    <w:qFormat/>
    <w:uiPriority w:val="0"/>
    <w:pPr>
      <w:spacing w:beforeLines="50" w:afterLines="50" w:line="360" w:lineRule="auto"/>
      <w:ind w:firstLine="480"/>
    </w:pPr>
    <w:rPr>
      <w:rFonts w:ascii="Tahoma" w:hAnsi="Tahoma"/>
      <w:sz w:val="24"/>
      <w:szCs w:val="24"/>
    </w:rPr>
  </w:style>
  <w:style w:type="paragraph" w:customStyle="1" w:styleId="406">
    <w:name w:val="xl205"/>
    <w:basedOn w:val="1"/>
    <w:qFormat/>
    <w:uiPriority w:val="0"/>
    <w:pPr>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rPr>
  </w:style>
  <w:style w:type="paragraph" w:customStyle="1" w:styleId="407">
    <w:name w:val="标准正文"/>
    <w:basedOn w:val="1"/>
    <w:qFormat/>
    <w:uiPriority w:val="0"/>
    <w:pPr>
      <w:adjustRightInd w:val="0"/>
      <w:spacing w:before="120" w:line="400" w:lineRule="atLeast"/>
      <w:ind w:firstLine="576"/>
      <w:textAlignment w:val="baseline"/>
    </w:pPr>
    <w:rPr>
      <w:rFonts w:eastAsia="楷体_GB2312"/>
      <w:sz w:val="28"/>
    </w:rPr>
  </w:style>
  <w:style w:type="paragraph" w:customStyle="1" w:styleId="408">
    <w:name w:val="Item List"/>
    <w:qFormat/>
    <w:uiPriority w:val="0"/>
    <w:pPr>
      <w:tabs>
        <w:tab w:val="left" w:pos="360"/>
        <w:tab w:val="left" w:pos="2211"/>
      </w:tabs>
      <w:spacing w:after="200" w:line="300" w:lineRule="auto"/>
      <w:jc w:val="both"/>
    </w:pPr>
    <w:rPr>
      <w:rFonts w:ascii="Arial" w:hAnsi="Arial" w:eastAsia="宋体" w:cs="Times New Roman"/>
      <w:sz w:val="21"/>
      <w:szCs w:val="22"/>
      <w:lang w:val="en-US" w:eastAsia="zh-CN" w:bidi="ar-SA"/>
    </w:rPr>
  </w:style>
  <w:style w:type="paragraph" w:customStyle="1" w:styleId="409">
    <w:name w:val="正文1"/>
    <w:basedOn w:val="1"/>
    <w:qFormat/>
    <w:uiPriority w:val="0"/>
    <w:pPr>
      <w:adjustRightInd w:val="0"/>
      <w:spacing w:line="360" w:lineRule="auto"/>
    </w:pPr>
    <w:rPr>
      <w:color w:val="000000"/>
      <w:sz w:val="24"/>
    </w:rPr>
  </w:style>
  <w:style w:type="paragraph" w:customStyle="1" w:styleId="410">
    <w:name w:val="xl138"/>
    <w:basedOn w:val="1"/>
    <w:qFormat/>
    <w:uiPriority w:val="0"/>
    <w:pPr>
      <w:spacing w:before="100" w:beforeAutospacing="1" w:after="100" w:afterAutospacing="1"/>
    </w:pPr>
    <w:rPr>
      <w:rFonts w:ascii="宋体" w:hAnsi="宋体" w:cs="宋体"/>
    </w:rPr>
  </w:style>
  <w:style w:type="paragraph" w:customStyle="1" w:styleId="411">
    <w:name w:val="font10"/>
    <w:basedOn w:val="1"/>
    <w:qFormat/>
    <w:uiPriority w:val="0"/>
    <w:pPr>
      <w:spacing w:before="100" w:beforeAutospacing="1" w:after="100" w:afterAutospacing="1"/>
    </w:pPr>
    <w:rPr>
      <w:rFonts w:ascii="宋体" w:hAnsi="宋体" w:cs="宋体"/>
      <w:color w:val="000000"/>
      <w:sz w:val="18"/>
      <w:szCs w:val="18"/>
    </w:rPr>
  </w:style>
  <w:style w:type="paragraph" w:customStyle="1" w:styleId="412">
    <w:name w:val="xl155"/>
    <w:basedOn w:val="1"/>
    <w:qFormat/>
    <w:uiPriority w:val="0"/>
    <w:pPr>
      <w:spacing w:before="100" w:beforeAutospacing="1" w:after="100" w:afterAutospacing="1"/>
    </w:pPr>
    <w:rPr>
      <w:rFonts w:ascii="宋体" w:hAnsi="宋体" w:cs="宋体"/>
    </w:rPr>
  </w:style>
  <w:style w:type="paragraph" w:customStyle="1" w:styleId="413">
    <w:name w:val="列表接续 31"/>
    <w:basedOn w:val="1"/>
    <w:qFormat/>
    <w:uiPriority w:val="0"/>
    <w:pPr>
      <w:spacing w:after="120" w:line="400" w:lineRule="exact"/>
      <w:ind w:left="1260" w:leftChars="600" w:firstLine="108"/>
    </w:pPr>
    <w:rPr>
      <w:rFonts w:ascii="宋体" w:hAnsi="宋体"/>
      <w:sz w:val="24"/>
      <w:szCs w:val="18"/>
    </w:rPr>
  </w:style>
  <w:style w:type="paragraph" w:customStyle="1" w:styleId="414">
    <w:name w:val="Char11"/>
    <w:basedOn w:val="1"/>
    <w:qFormat/>
    <w:uiPriority w:val="0"/>
    <w:pPr>
      <w:adjustRightInd w:val="0"/>
      <w:spacing w:beforeLines="100"/>
      <w:ind w:right="540" w:rightChars="225"/>
    </w:pPr>
    <w:rPr>
      <w:rFonts w:ascii="Tahoma" w:hAnsi="Tahoma"/>
      <w:sz w:val="24"/>
      <w:szCs w:val="24"/>
    </w:rPr>
  </w:style>
  <w:style w:type="paragraph" w:customStyle="1" w:styleId="415">
    <w:name w:val="font8"/>
    <w:basedOn w:val="1"/>
    <w:qFormat/>
    <w:uiPriority w:val="0"/>
    <w:pPr>
      <w:spacing w:before="100" w:beforeAutospacing="1" w:after="100" w:afterAutospacing="1"/>
    </w:pPr>
    <w:rPr>
      <w:rFonts w:ascii="宋体" w:hAnsi="宋体" w:cs="宋体"/>
      <w:color w:val="000000"/>
      <w:sz w:val="18"/>
      <w:szCs w:val="18"/>
    </w:rPr>
  </w:style>
  <w:style w:type="paragraph" w:customStyle="1" w:styleId="416">
    <w:name w:val="size3"/>
    <w:basedOn w:val="1"/>
    <w:qFormat/>
    <w:uiPriority w:val="0"/>
    <w:pPr>
      <w:spacing w:before="100" w:beforeAutospacing="1" w:after="100" w:afterAutospacing="1"/>
    </w:pPr>
    <w:rPr>
      <w:rFonts w:ascii="宋体" w:hAnsi="宋体" w:cs="宋体"/>
      <w:color w:val="000000"/>
      <w:sz w:val="18"/>
      <w:szCs w:val="18"/>
    </w:rPr>
  </w:style>
  <w:style w:type="paragraph" w:customStyle="1" w:styleId="417">
    <w:name w:val="正文缩2"/>
    <w:basedOn w:val="1"/>
    <w:qFormat/>
    <w:uiPriority w:val="0"/>
    <w:pPr>
      <w:spacing w:before="120" w:after="120" w:line="440" w:lineRule="atLeast"/>
      <w:ind w:firstLine="510"/>
    </w:pPr>
    <w:rPr>
      <w:sz w:val="24"/>
    </w:rPr>
  </w:style>
  <w:style w:type="paragraph" w:customStyle="1" w:styleId="418">
    <w:name w:val="段落内容"/>
    <w:basedOn w:val="1"/>
    <w:qFormat/>
    <w:uiPriority w:val="0"/>
    <w:pPr>
      <w:snapToGrid w:val="0"/>
      <w:spacing w:line="440" w:lineRule="atLeast"/>
      <w:ind w:firstLine="200" w:firstLineChars="200"/>
    </w:pPr>
    <w:rPr>
      <w:sz w:val="28"/>
    </w:rPr>
  </w:style>
  <w:style w:type="paragraph" w:customStyle="1" w:styleId="419">
    <w:name w:val="列表接续 21"/>
    <w:basedOn w:val="1"/>
    <w:qFormat/>
    <w:uiPriority w:val="0"/>
    <w:pPr>
      <w:spacing w:after="120" w:line="400" w:lineRule="exact"/>
      <w:ind w:left="840" w:leftChars="400" w:firstLine="108"/>
    </w:pPr>
    <w:rPr>
      <w:rFonts w:ascii="宋体" w:hAnsi="宋体"/>
      <w:sz w:val="24"/>
      <w:szCs w:val="18"/>
    </w:rPr>
  </w:style>
  <w:style w:type="paragraph" w:customStyle="1" w:styleId="420">
    <w:name w:val="xl105"/>
    <w:basedOn w:val="1"/>
    <w:qFormat/>
    <w:uiPriority w:val="0"/>
    <w:pPr>
      <w:spacing w:before="100" w:beforeAutospacing="1" w:after="100" w:afterAutospacing="1"/>
    </w:pPr>
    <w:rPr>
      <w:rFonts w:ascii="宋体" w:hAnsi="宋体" w:cs="宋体"/>
      <w:sz w:val="24"/>
      <w:szCs w:val="24"/>
    </w:rPr>
  </w:style>
  <w:style w:type="paragraph" w:customStyle="1" w:styleId="421">
    <w:name w:val="xl201"/>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422">
    <w:name w:val="itemlist"/>
    <w:basedOn w:val="1"/>
    <w:qFormat/>
    <w:uiPriority w:val="0"/>
    <w:pPr>
      <w:spacing w:line="300" w:lineRule="atLeast"/>
    </w:pPr>
    <w:rPr>
      <w:rFonts w:ascii="宋体" w:hAnsi="宋体" w:cs="宋体"/>
      <w:sz w:val="18"/>
      <w:szCs w:val="18"/>
    </w:rPr>
  </w:style>
  <w:style w:type="paragraph" w:customStyle="1" w:styleId="423">
    <w:name w:val="xl19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24">
    <w:name w:val="xl10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sz w:val="18"/>
      <w:szCs w:val="18"/>
    </w:rPr>
  </w:style>
  <w:style w:type="paragraph" w:customStyle="1" w:styleId="425">
    <w:name w:val="Char1 Char Char Char Char Char Char Char Char1 Char Char Char Char Char Char Char Char Char Char Char Char Char Char Char Char Char Char Char"/>
    <w:basedOn w:val="1"/>
    <w:qFormat/>
    <w:uiPriority w:val="0"/>
    <w:pPr>
      <w:adjustRightInd w:val="0"/>
    </w:pPr>
    <w:rPr>
      <w:rFonts w:ascii="Tahoma" w:hAnsi="Tahoma"/>
      <w:sz w:val="24"/>
    </w:rPr>
  </w:style>
  <w:style w:type="paragraph" w:customStyle="1" w:styleId="42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427">
    <w:name w:val="xl193"/>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28">
    <w:name w:val="H2 List Num"/>
    <w:basedOn w:val="1"/>
    <w:qFormat/>
    <w:uiPriority w:val="0"/>
    <w:pPr>
      <w:numPr>
        <w:ilvl w:val="1"/>
        <w:numId w:val="15"/>
      </w:numPr>
      <w:tabs>
        <w:tab w:val="left" w:pos="1170"/>
        <w:tab w:val="left" w:pos="1440"/>
        <w:tab w:val="clear" w:pos="2160"/>
      </w:tabs>
      <w:spacing w:after="60"/>
    </w:pPr>
    <w:rPr>
      <w:rFonts w:ascii="Times" w:hAnsi="Times"/>
    </w:rPr>
  </w:style>
  <w:style w:type="paragraph" w:customStyle="1" w:styleId="42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430">
    <w:name w:val="Char Char Char Char Char Char Char1"/>
    <w:basedOn w:val="75"/>
    <w:qFormat/>
    <w:uiPriority w:val="0"/>
    <w:pPr>
      <w:shd w:val="clear" w:color="auto" w:fill="000080"/>
      <w:adjustRightInd w:val="0"/>
      <w:spacing w:line="436" w:lineRule="exact"/>
      <w:ind w:left="357"/>
      <w:outlineLvl w:val="3"/>
    </w:pPr>
    <w:rPr>
      <w:rFonts w:ascii="Tahoma" w:hAnsi="Tahoma"/>
      <w:b/>
      <w:sz w:val="24"/>
      <w:szCs w:val="24"/>
    </w:rPr>
  </w:style>
  <w:style w:type="paragraph" w:customStyle="1" w:styleId="431">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32">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18"/>
      <w:szCs w:val="18"/>
    </w:rPr>
  </w:style>
  <w:style w:type="paragraph" w:customStyle="1" w:styleId="433">
    <w:name w:val="at2"/>
    <w:basedOn w:val="1"/>
    <w:qFormat/>
    <w:uiPriority w:val="0"/>
    <w:pPr>
      <w:tabs>
        <w:tab w:val="left" w:pos="8295"/>
      </w:tabs>
      <w:autoSpaceDE w:val="0"/>
      <w:autoSpaceDN w:val="0"/>
      <w:spacing w:before="120" w:after="120" w:line="400" w:lineRule="exact"/>
      <w:ind w:left="525" w:hanging="525"/>
    </w:pPr>
    <w:rPr>
      <w:rFonts w:eastAsia="华文仿宋"/>
      <w:sz w:val="24"/>
    </w:rPr>
  </w:style>
  <w:style w:type="paragraph" w:customStyle="1" w:styleId="434">
    <w:name w:val="xl17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435">
    <w:name w:val="text"/>
    <w:basedOn w:val="1"/>
    <w:qFormat/>
    <w:uiPriority w:val="0"/>
    <w:pPr>
      <w:ind w:firstLine="200" w:firstLineChars="200"/>
    </w:pPr>
    <w:rPr>
      <w:rFonts w:ascii="Arial" w:hAnsi="Arial"/>
      <w:sz w:val="24"/>
    </w:rPr>
  </w:style>
  <w:style w:type="paragraph" w:customStyle="1" w:styleId="436">
    <w:name w:val="xl16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sz w:val="24"/>
      <w:szCs w:val="24"/>
    </w:rPr>
  </w:style>
  <w:style w:type="paragraph" w:customStyle="1" w:styleId="437">
    <w:name w:val="xl163"/>
    <w:basedOn w:val="1"/>
    <w:qFormat/>
    <w:uiPriority w:val="0"/>
    <w:pPr>
      <w:pBdr>
        <w:bottom w:val="single" w:color="000000" w:sz="4" w:space="0"/>
      </w:pBdr>
      <w:spacing w:before="100" w:beforeAutospacing="1" w:after="100" w:afterAutospacing="1"/>
      <w:jc w:val="right"/>
    </w:pPr>
    <w:rPr>
      <w:rFonts w:ascii="宋体" w:hAnsi="宋体" w:cs="宋体"/>
      <w:sz w:val="24"/>
      <w:szCs w:val="24"/>
    </w:rPr>
  </w:style>
  <w:style w:type="paragraph" w:customStyle="1" w:styleId="438">
    <w:name w:val="xl143"/>
    <w:basedOn w:val="1"/>
    <w:qFormat/>
    <w:uiPriority w:val="0"/>
    <w:pPr>
      <w:pBdr>
        <w:top w:val="single" w:color="000000" w:sz="4" w:space="0"/>
        <w:left w:val="single" w:color="000000" w:sz="4" w:space="0"/>
        <w:right w:val="single" w:color="000000" w:sz="4" w:space="0"/>
      </w:pBdr>
      <w:shd w:val="clear" w:color="000000" w:fill="C0C0C0"/>
      <w:spacing w:before="100" w:beforeAutospacing="1" w:after="100" w:afterAutospacing="1"/>
    </w:pPr>
    <w:rPr>
      <w:rFonts w:ascii="宋体" w:hAnsi="宋体" w:cs="宋体"/>
      <w:b/>
      <w:bCs/>
      <w:color w:val="000000"/>
      <w:sz w:val="24"/>
      <w:szCs w:val="24"/>
    </w:rPr>
  </w:style>
  <w:style w:type="paragraph" w:customStyle="1" w:styleId="439">
    <w:name w:val="样式 样式 文档正文 + 首行缩进:  2.25 字符 段后: 0.5 行 + 首行缩进:  2 字符"/>
    <w:qFormat/>
    <w:uiPriority w:val="0"/>
    <w:pPr>
      <w:spacing w:after="120" w:line="360" w:lineRule="auto"/>
      <w:ind w:firstLine="200" w:firstLineChars="200"/>
    </w:pPr>
    <w:rPr>
      <w:rFonts w:ascii="宋体" w:hAnsi="宋体" w:eastAsia="宋体" w:cs="Times New Roman"/>
      <w:sz w:val="24"/>
      <w:szCs w:val="24"/>
      <w:lang w:val="en-US" w:eastAsia="zh-CN" w:bidi="ar-SA"/>
    </w:rPr>
  </w:style>
  <w:style w:type="paragraph" w:customStyle="1" w:styleId="440">
    <w:name w:val="Header1"/>
    <w:basedOn w:val="272"/>
    <w:next w:val="272"/>
    <w:qFormat/>
    <w:uiPriority w:val="0"/>
    <w:rPr>
      <w:rFonts w:eastAsia="??"/>
      <w:sz w:val="24"/>
      <w:szCs w:val="24"/>
    </w:rPr>
  </w:style>
  <w:style w:type="paragraph" w:customStyle="1" w:styleId="441">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sz w:val="24"/>
      <w:szCs w:val="24"/>
    </w:rPr>
  </w:style>
  <w:style w:type="paragraph" w:customStyle="1" w:styleId="442">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43">
    <w:name w:val="xl209"/>
    <w:basedOn w:val="1"/>
    <w:qFormat/>
    <w:uiPriority w:val="0"/>
    <w:pPr>
      <w:pBdr>
        <w:top w:val="single" w:color="auto" w:sz="8" w:space="0"/>
        <w:left w:val="single" w:color="auto" w:sz="8"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44">
    <w:name w:val="H1 text"/>
    <w:basedOn w:val="1"/>
    <w:qFormat/>
    <w:uiPriority w:val="0"/>
    <w:pPr>
      <w:spacing w:before="60" w:after="120"/>
      <w:ind w:left="540"/>
    </w:pPr>
  </w:style>
  <w:style w:type="paragraph" w:customStyle="1" w:styleId="445">
    <w:name w:val="表格正文"/>
    <w:basedOn w:val="1"/>
    <w:qFormat/>
    <w:uiPriority w:val="0"/>
    <w:pPr>
      <w:spacing w:before="20" w:after="20" w:line="400" w:lineRule="exact"/>
    </w:pPr>
  </w:style>
  <w:style w:type="paragraph" w:customStyle="1" w:styleId="446">
    <w:name w:val="xl16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447">
    <w:name w:val="列出段落11"/>
    <w:basedOn w:val="1"/>
    <w:qFormat/>
    <w:uiPriority w:val="0"/>
    <w:pPr>
      <w:ind w:firstLine="420" w:firstLineChars="200"/>
    </w:pPr>
  </w:style>
  <w:style w:type="paragraph" w:customStyle="1" w:styleId="448">
    <w:name w:val="列表1"/>
    <w:basedOn w:val="1"/>
    <w:qFormat/>
    <w:uiPriority w:val="0"/>
    <w:pPr>
      <w:tabs>
        <w:tab w:val="left" w:pos="720"/>
        <w:tab w:val="left" w:pos="1500"/>
      </w:tabs>
      <w:spacing w:line="240" w:lineRule="atLeast"/>
      <w:ind w:left="1500" w:leftChars="30" w:hanging="420"/>
    </w:pPr>
    <w:rPr>
      <w:rFonts w:ascii="宋体" w:hAnsi="宋体"/>
      <w:bCs/>
      <w:sz w:val="24"/>
    </w:rPr>
  </w:style>
  <w:style w:type="paragraph" w:customStyle="1" w:styleId="449">
    <w:name w:val="1525"/>
    <w:basedOn w:val="1"/>
    <w:qFormat/>
    <w:uiPriority w:val="0"/>
    <w:pPr>
      <w:spacing w:before="100" w:beforeAutospacing="1" w:after="100" w:afterAutospacing="1" w:line="240" w:lineRule="atLeast"/>
    </w:pPr>
    <w:rPr>
      <w:rFonts w:ascii="宋体" w:hAnsi="宋体" w:cs="宋体"/>
      <w:sz w:val="18"/>
      <w:szCs w:val="18"/>
    </w:rPr>
  </w:style>
  <w:style w:type="paragraph" w:customStyle="1" w:styleId="450">
    <w:name w:val="1名"/>
    <w:basedOn w:val="1"/>
    <w:qFormat/>
    <w:uiPriority w:val="0"/>
    <w:pPr>
      <w:spacing w:before="120"/>
    </w:pPr>
    <w:rPr>
      <w:rFonts w:ascii="宋体" w:hAnsi="宋体" w:cs="宋体"/>
      <w:sz w:val="28"/>
      <w:szCs w:val="28"/>
    </w:rPr>
  </w:style>
  <w:style w:type="paragraph" w:customStyle="1" w:styleId="451">
    <w:name w:val="xl1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18"/>
      <w:szCs w:val="18"/>
    </w:rPr>
  </w:style>
  <w:style w:type="paragraph" w:customStyle="1" w:styleId="452">
    <w:name w:val="xl162"/>
    <w:basedOn w:val="1"/>
    <w:qFormat/>
    <w:uiPriority w:val="0"/>
    <w:pPr>
      <w:pBdr>
        <w:bottom w:val="single" w:color="000000" w:sz="4" w:space="0"/>
      </w:pBdr>
      <w:spacing w:before="100" w:beforeAutospacing="1" w:after="100" w:afterAutospacing="1"/>
      <w:jc w:val="right"/>
    </w:pPr>
    <w:rPr>
      <w:rFonts w:ascii="宋体" w:hAnsi="宋体" w:cs="宋体"/>
      <w:b/>
      <w:bCs/>
      <w:color w:val="000000"/>
    </w:rPr>
  </w:style>
  <w:style w:type="paragraph" w:customStyle="1" w:styleId="453">
    <w:name w:val="表格正文中 + 两端对齐"/>
    <w:basedOn w:val="1"/>
    <w:qFormat/>
    <w:uiPriority w:val="0"/>
    <w:pPr>
      <w:spacing w:line="240" w:lineRule="atLeast"/>
    </w:pPr>
    <w:rPr>
      <w:rFonts w:cs="宋体"/>
      <w:sz w:val="24"/>
    </w:rPr>
  </w:style>
  <w:style w:type="paragraph" w:customStyle="1" w:styleId="454">
    <w:name w:val="±í¸ñ1"/>
    <w:basedOn w:val="1"/>
    <w:qFormat/>
    <w:uiPriority w:val="0"/>
    <w:pPr>
      <w:overflowPunct w:val="0"/>
      <w:autoSpaceDE w:val="0"/>
      <w:autoSpaceDN w:val="0"/>
      <w:adjustRightInd w:val="0"/>
      <w:jc w:val="center"/>
    </w:pPr>
    <w:rPr>
      <w:b/>
      <w:sz w:val="18"/>
    </w:rPr>
  </w:style>
  <w:style w:type="paragraph" w:customStyle="1" w:styleId="455">
    <w:name w:val="表头"/>
    <w:qFormat/>
    <w:uiPriority w:val="0"/>
    <w:pPr>
      <w:spacing w:after="200" w:line="276" w:lineRule="auto"/>
    </w:pPr>
    <w:rPr>
      <w:rFonts w:ascii="Arial" w:hAnsi="Arial" w:eastAsia="宋体" w:cs="Times New Roman"/>
      <w:kern w:val="2"/>
      <w:sz w:val="18"/>
      <w:szCs w:val="24"/>
      <w:lang w:val="en-US" w:eastAsia="zh-CN" w:bidi="ar-SA"/>
    </w:rPr>
  </w:style>
  <w:style w:type="paragraph" w:customStyle="1" w:styleId="456">
    <w:name w:val="xl140"/>
    <w:basedOn w:val="1"/>
    <w:qFormat/>
    <w:uiPriority w:val="0"/>
    <w:pPr>
      <w:pBdr>
        <w:bottom w:val="single" w:color="000000" w:sz="4" w:space="0"/>
      </w:pBdr>
      <w:spacing w:before="100" w:beforeAutospacing="1" w:after="100" w:afterAutospacing="1"/>
      <w:jc w:val="center"/>
    </w:pPr>
    <w:rPr>
      <w:rFonts w:ascii="宋体" w:hAnsi="宋体" w:cs="宋体"/>
      <w:b/>
      <w:bCs/>
      <w:color w:val="000000"/>
    </w:rPr>
  </w:style>
  <w:style w:type="paragraph" w:customStyle="1" w:styleId="457">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rPr>
  </w:style>
  <w:style w:type="paragraph" w:customStyle="1" w:styleId="458">
    <w:name w:val="称呼1"/>
    <w:basedOn w:val="1"/>
    <w:next w:val="1"/>
    <w:qFormat/>
    <w:uiPriority w:val="0"/>
    <w:rPr>
      <w:rFonts w:ascii="宋体" w:hAnsi="宋体" w:eastAsia="仿宋_GB2312" w:cs="宋体"/>
      <w:szCs w:val="28"/>
    </w:rPr>
  </w:style>
  <w:style w:type="paragraph" w:customStyle="1" w:styleId="459">
    <w:name w:val="TOC 标题1"/>
    <w:basedOn w:val="3"/>
    <w:next w:val="1"/>
    <w:qFormat/>
    <w:uiPriority w:val="0"/>
    <w:pPr>
      <w:outlineLvl w:val="9"/>
    </w:pPr>
    <w:rPr>
      <w:iCs/>
    </w:rPr>
  </w:style>
  <w:style w:type="paragraph" w:customStyle="1" w:styleId="460">
    <w:name w:val="xl17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461">
    <w:name w:val="xl19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6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463">
    <w:name w:val="xl1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464">
    <w:name w:val="正文表格"/>
    <w:basedOn w:val="1"/>
    <w:qFormat/>
    <w:uiPriority w:val="0"/>
  </w:style>
  <w:style w:type="paragraph" w:customStyle="1" w:styleId="465">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sz w:val="18"/>
      <w:szCs w:val="18"/>
    </w:rPr>
  </w:style>
  <w:style w:type="character" w:customStyle="1" w:styleId="466">
    <w:name w:val="标题 1 Char"/>
    <w:qFormat/>
    <w:uiPriority w:val="9"/>
    <w:rPr>
      <w:rFonts w:ascii="Cambria" w:hAnsi="Cambria" w:eastAsia="宋体" w:cs="Times New Roman"/>
      <w:b/>
      <w:bCs/>
      <w:color w:val="365F91"/>
      <w:sz w:val="28"/>
      <w:szCs w:val="28"/>
    </w:rPr>
  </w:style>
  <w:style w:type="character" w:customStyle="1" w:styleId="467">
    <w:name w:val="标题 2 Char"/>
    <w:semiHidden/>
    <w:qFormat/>
    <w:uiPriority w:val="9"/>
    <w:rPr>
      <w:rFonts w:ascii="Cambria" w:hAnsi="Cambria" w:eastAsia="宋体" w:cs="Times New Roman"/>
      <w:b/>
      <w:bCs/>
      <w:color w:val="4F81BD"/>
      <w:sz w:val="26"/>
      <w:szCs w:val="26"/>
    </w:rPr>
  </w:style>
  <w:style w:type="character" w:customStyle="1" w:styleId="468">
    <w:name w:val="标题 3 Char"/>
    <w:qFormat/>
    <w:uiPriority w:val="9"/>
    <w:rPr>
      <w:rFonts w:ascii="Cambria" w:hAnsi="Cambria" w:eastAsia="宋体" w:cs="Times New Roman"/>
      <w:b/>
      <w:bCs/>
      <w:color w:val="4F81BD"/>
    </w:rPr>
  </w:style>
  <w:style w:type="character" w:customStyle="1" w:styleId="469">
    <w:name w:val="标题 4 Char"/>
    <w:qFormat/>
    <w:uiPriority w:val="9"/>
    <w:rPr>
      <w:rFonts w:ascii="Cambria" w:hAnsi="Cambria" w:eastAsia="宋体" w:cs="Times New Roman"/>
      <w:b/>
      <w:bCs/>
      <w:i/>
      <w:iCs/>
      <w:color w:val="4F81BD"/>
    </w:rPr>
  </w:style>
  <w:style w:type="character" w:customStyle="1" w:styleId="470">
    <w:name w:val="标题 5 Char"/>
    <w:qFormat/>
    <w:uiPriority w:val="9"/>
    <w:rPr>
      <w:rFonts w:ascii="Cambria" w:hAnsi="Cambria" w:eastAsia="宋体" w:cs="Times New Roman"/>
      <w:color w:val="243F60"/>
    </w:rPr>
  </w:style>
  <w:style w:type="character" w:customStyle="1" w:styleId="471">
    <w:name w:val="标题 6 Char"/>
    <w:qFormat/>
    <w:uiPriority w:val="9"/>
    <w:rPr>
      <w:rFonts w:ascii="Cambria" w:hAnsi="Cambria" w:eastAsia="宋体" w:cs="Times New Roman"/>
      <w:i/>
      <w:iCs/>
      <w:color w:val="243F60"/>
    </w:rPr>
  </w:style>
  <w:style w:type="character" w:customStyle="1" w:styleId="472">
    <w:name w:val="标题 7 Char"/>
    <w:qFormat/>
    <w:uiPriority w:val="9"/>
    <w:rPr>
      <w:rFonts w:ascii="Cambria" w:hAnsi="Cambria" w:eastAsia="宋体" w:cs="Times New Roman"/>
      <w:i/>
      <w:iCs/>
      <w:color w:val="404040"/>
    </w:rPr>
  </w:style>
  <w:style w:type="character" w:customStyle="1" w:styleId="473">
    <w:name w:val="标题 8 Char"/>
    <w:qFormat/>
    <w:uiPriority w:val="9"/>
    <w:rPr>
      <w:rFonts w:ascii="Cambria" w:hAnsi="Cambria" w:eastAsia="宋体" w:cs="Times New Roman"/>
      <w:color w:val="4F81BD"/>
      <w:sz w:val="20"/>
      <w:szCs w:val="20"/>
    </w:rPr>
  </w:style>
  <w:style w:type="character" w:customStyle="1" w:styleId="474">
    <w:name w:val="标题 9 Char"/>
    <w:qFormat/>
    <w:uiPriority w:val="9"/>
    <w:rPr>
      <w:rFonts w:ascii="Cambria" w:hAnsi="Cambria" w:eastAsia="宋体" w:cs="Times New Roman"/>
      <w:i/>
      <w:iCs/>
      <w:color w:val="404040"/>
      <w:sz w:val="20"/>
      <w:szCs w:val="20"/>
    </w:rPr>
  </w:style>
  <w:style w:type="character" w:customStyle="1" w:styleId="475">
    <w:name w:val="标题 Char"/>
    <w:qFormat/>
    <w:uiPriority w:val="10"/>
    <w:rPr>
      <w:rFonts w:ascii="Cambria" w:hAnsi="Cambria" w:eastAsia="宋体" w:cs="Times New Roman"/>
      <w:color w:val="17365D"/>
      <w:spacing w:val="5"/>
      <w:kern w:val="28"/>
      <w:sz w:val="52"/>
      <w:szCs w:val="52"/>
    </w:rPr>
  </w:style>
  <w:style w:type="character" w:customStyle="1" w:styleId="476">
    <w:name w:val="副标题 Char"/>
    <w:qFormat/>
    <w:uiPriority w:val="11"/>
    <w:rPr>
      <w:rFonts w:ascii="Cambria" w:hAnsi="Cambria" w:eastAsia="宋体" w:cs="Times New Roman"/>
      <w:i/>
      <w:iCs/>
      <w:color w:val="4F81BD"/>
      <w:spacing w:val="15"/>
      <w:sz w:val="24"/>
      <w:szCs w:val="24"/>
    </w:rPr>
  </w:style>
  <w:style w:type="paragraph" w:customStyle="1" w:styleId="477">
    <w:name w:val="无间隔1"/>
    <w:qFormat/>
    <w:uiPriority w:val="1"/>
    <w:rPr>
      <w:rFonts w:ascii="Calibri" w:hAnsi="Calibri" w:eastAsia="宋体" w:cs="Times New Roman"/>
      <w:sz w:val="22"/>
      <w:szCs w:val="22"/>
      <w:lang w:val="en-US" w:eastAsia="en-US" w:bidi="en-US"/>
    </w:rPr>
  </w:style>
  <w:style w:type="paragraph" w:customStyle="1" w:styleId="478">
    <w:name w:val="列表段落1"/>
    <w:basedOn w:val="1"/>
    <w:qFormat/>
    <w:uiPriority w:val="34"/>
    <w:pPr>
      <w:ind w:left="720"/>
      <w:contextualSpacing/>
    </w:pPr>
  </w:style>
  <w:style w:type="paragraph" w:customStyle="1" w:styleId="479">
    <w:name w:val="引用1"/>
    <w:basedOn w:val="1"/>
    <w:next w:val="1"/>
    <w:link w:val="480"/>
    <w:qFormat/>
    <w:uiPriority w:val="29"/>
    <w:rPr>
      <w:i/>
      <w:iCs/>
      <w:color w:val="000000"/>
    </w:rPr>
  </w:style>
  <w:style w:type="character" w:customStyle="1" w:styleId="480">
    <w:name w:val="引用 Char"/>
    <w:link w:val="479"/>
    <w:qFormat/>
    <w:uiPriority w:val="29"/>
    <w:rPr>
      <w:i/>
      <w:iCs/>
      <w:color w:val="000000"/>
    </w:rPr>
  </w:style>
  <w:style w:type="paragraph" w:customStyle="1" w:styleId="481">
    <w:name w:val="明显引用1"/>
    <w:basedOn w:val="1"/>
    <w:next w:val="1"/>
    <w:link w:val="482"/>
    <w:qFormat/>
    <w:uiPriority w:val="30"/>
    <w:pPr>
      <w:pBdr>
        <w:bottom w:val="single" w:color="4F81BD" w:sz="4" w:space="4"/>
      </w:pBdr>
      <w:spacing w:before="200" w:after="280"/>
      <w:ind w:left="936" w:right="936"/>
    </w:pPr>
    <w:rPr>
      <w:b/>
      <w:bCs/>
      <w:i/>
      <w:iCs/>
      <w:color w:val="4F81BD"/>
    </w:rPr>
  </w:style>
  <w:style w:type="character" w:customStyle="1" w:styleId="482">
    <w:name w:val="明显引用 Char"/>
    <w:link w:val="481"/>
    <w:qFormat/>
    <w:uiPriority w:val="30"/>
    <w:rPr>
      <w:b/>
      <w:bCs/>
      <w:i/>
      <w:iCs/>
      <w:color w:val="4F81BD"/>
    </w:rPr>
  </w:style>
  <w:style w:type="character" w:customStyle="1" w:styleId="483">
    <w:name w:val="不明显强调1"/>
    <w:qFormat/>
    <w:uiPriority w:val="19"/>
    <w:rPr>
      <w:i/>
      <w:iCs/>
      <w:color w:val="808080"/>
    </w:rPr>
  </w:style>
  <w:style w:type="character" w:customStyle="1" w:styleId="484">
    <w:name w:val="明显强调1"/>
    <w:qFormat/>
    <w:uiPriority w:val="21"/>
    <w:rPr>
      <w:b/>
      <w:bCs/>
      <w:i/>
      <w:iCs/>
      <w:color w:val="4F81BD"/>
    </w:rPr>
  </w:style>
  <w:style w:type="character" w:customStyle="1" w:styleId="485">
    <w:name w:val="不明显参考1"/>
    <w:qFormat/>
    <w:uiPriority w:val="31"/>
    <w:rPr>
      <w:smallCaps/>
      <w:color w:val="C0504D"/>
      <w:u w:val="single"/>
    </w:rPr>
  </w:style>
  <w:style w:type="character" w:customStyle="1" w:styleId="486">
    <w:name w:val="明显参考1"/>
    <w:qFormat/>
    <w:uiPriority w:val="32"/>
    <w:rPr>
      <w:b/>
      <w:bCs/>
      <w:smallCaps/>
      <w:color w:val="C0504D"/>
      <w:spacing w:val="5"/>
      <w:u w:val="single"/>
    </w:rPr>
  </w:style>
  <w:style w:type="character" w:customStyle="1" w:styleId="487">
    <w:name w:val="书籍标题1"/>
    <w:qFormat/>
    <w:uiPriority w:val="33"/>
    <w:rPr>
      <w:b/>
      <w:bCs/>
      <w:smallCaps/>
      <w:spacing w:val="5"/>
    </w:rPr>
  </w:style>
  <w:style w:type="paragraph" w:customStyle="1" w:styleId="488">
    <w:name w:val="TOC 标题2"/>
    <w:basedOn w:val="3"/>
    <w:next w:val="1"/>
    <w:unhideWhenUsed/>
    <w:qFormat/>
    <w:uiPriority w:val="39"/>
    <w:pPr>
      <w:outlineLvl w:val="9"/>
    </w:pPr>
  </w:style>
  <w:style w:type="character" w:customStyle="1" w:styleId="489">
    <w:name w:val="apple-converted-space"/>
    <w:basedOn w:val="39"/>
    <w:qFormat/>
    <w:uiPriority w:val="0"/>
  </w:style>
  <w:style w:type="paragraph" w:customStyle="1" w:styleId="490">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491">
    <w:name w:val="_Style 1"/>
    <w:basedOn w:val="1"/>
    <w:qFormat/>
    <w:uiPriority w:val="34"/>
    <w:pPr>
      <w:ind w:firstLine="420" w:firstLineChars="200"/>
    </w:pPr>
  </w:style>
  <w:style w:type="paragraph" w:customStyle="1" w:styleId="492">
    <w:name w:val="列出段落3"/>
    <w:basedOn w:val="1"/>
    <w:qFormat/>
    <w:uiPriority w:val="34"/>
    <w:pPr>
      <w:ind w:left="720"/>
      <w:contextualSpacing/>
    </w:pPr>
  </w:style>
  <w:style w:type="paragraph" w:customStyle="1" w:styleId="493">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F78CA-E29F-4AD6-8905-9EEA8A297B05}">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50</Pages>
  <Words>19001</Words>
  <Characters>20324</Characters>
  <Lines>181</Lines>
  <Paragraphs>51</Paragraphs>
  <TotalTime>15</TotalTime>
  <ScaleCrop>false</ScaleCrop>
  <LinksUpToDate>false</LinksUpToDate>
  <CharactersWithSpaces>20718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2019-08-19T10:51:00Z</dcterms:created>
  <dc:creator>wr</dc:creator>
  <cp:lastModifiedBy>简帆</cp:lastModifiedBy>
  <cp:lastPrinted>2023-03-15T03:39:00Z</cp:lastPrinted>
  <dcterms:modified xsi:type="dcterms:W3CDTF">2023-05-07T13:34:49Z</dcterms:modified>
  <dc:title>招标公告</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45085BA562654111B043425C360E712E_13</vt:lpwstr>
  </property>
</Properties>
</file>