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C82" w:rsidRDefault="00B84C82" w:rsidP="00B84C82">
      <w:pPr>
        <w:ind w:firstLine="173"/>
        <w:jc w:val="left"/>
        <w:rPr>
          <w:rFonts w:ascii="黑体" w:eastAsia="黑体" w:hAnsi="黑体"/>
          <w:sz w:val="32"/>
          <w:szCs w:val="32"/>
        </w:rPr>
      </w:pPr>
      <w:r w:rsidRPr="00E70A8A">
        <w:rPr>
          <w:rFonts w:ascii="黑体" w:eastAsia="黑体" w:hAnsi="黑体" w:hint="eastAsia"/>
          <w:sz w:val="32"/>
          <w:szCs w:val="32"/>
        </w:rPr>
        <w:t>附件</w:t>
      </w:r>
      <w:r>
        <w:rPr>
          <w:rFonts w:ascii="黑体" w:eastAsia="黑体" w:hAnsi="黑体" w:hint="eastAsia"/>
          <w:sz w:val="32"/>
          <w:szCs w:val="32"/>
        </w:rPr>
        <w:t>2</w:t>
      </w:r>
    </w:p>
    <w:p w:rsidR="00B84C82" w:rsidRPr="00BD458D" w:rsidRDefault="00B84C82" w:rsidP="00B84C82">
      <w:pPr>
        <w:widowControl/>
        <w:tabs>
          <w:tab w:val="left" w:pos="709"/>
        </w:tabs>
        <w:autoSpaceDN w:val="0"/>
        <w:spacing w:line="400" w:lineRule="exact"/>
        <w:jc w:val="center"/>
        <w:rPr>
          <w:rFonts w:ascii="方正小标宋简体" w:eastAsia="方正小标宋简体" w:hAnsi="Calibri" w:cs="Times New Roman"/>
          <w:spacing w:val="-4"/>
          <w:sz w:val="36"/>
          <w:szCs w:val="36"/>
          <w:lang w:val="en-GB"/>
        </w:rPr>
      </w:pPr>
      <w:r w:rsidRPr="00BD458D">
        <w:rPr>
          <w:rFonts w:ascii="方正小标宋简体" w:eastAsia="方正小标宋简体" w:hAnsi="Calibri" w:cs="Times New Roman" w:hint="eastAsia"/>
          <w:spacing w:val="-4"/>
          <w:sz w:val="36"/>
          <w:szCs w:val="36"/>
          <w:lang w:val="en-GB"/>
        </w:rPr>
        <w:t>中毛自贸协定项下产品特定原产地规则</w:t>
      </w:r>
    </w:p>
    <w:p w:rsidR="00B84C82" w:rsidRPr="00BD458D" w:rsidRDefault="00B84C82" w:rsidP="00B84C82">
      <w:pPr>
        <w:widowControl/>
        <w:tabs>
          <w:tab w:val="left" w:pos="709"/>
        </w:tabs>
        <w:autoSpaceDN w:val="0"/>
        <w:spacing w:line="400" w:lineRule="exact"/>
        <w:jc w:val="center"/>
        <w:rPr>
          <w:rFonts w:ascii="仿宋_GB2312" w:eastAsia="仿宋_GB2312" w:hAnsi="Calibri" w:cs="Times New Roman"/>
          <w:spacing w:val="-4"/>
          <w:sz w:val="30"/>
          <w:szCs w:val="30"/>
        </w:rPr>
      </w:pPr>
      <w:r w:rsidRPr="00BD458D">
        <w:rPr>
          <w:rFonts w:ascii="方正小标宋简体" w:eastAsia="方正小标宋简体" w:hAnsi="Calibri" w:cs="Times New Roman"/>
          <w:spacing w:val="-4"/>
          <w:sz w:val="36"/>
          <w:szCs w:val="36"/>
          <w:lang w:val="en-GB"/>
        </w:rPr>
        <w:t xml:space="preserve">                   </w:t>
      </w:r>
    </w:p>
    <w:p w:rsidR="00B84C82" w:rsidRPr="00312054" w:rsidRDefault="00B84C82" w:rsidP="00B84C82">
      <w:pPr>
        <w:widowControl/>
        <w:tabs>
          <w:tab w:val="left" w:pos="709"/>
        </w:tabs>
        <w:autoSpaceDN w:val="0"/>
        <w:spacing w:line="560" w:lineRule="exact"/>
        <w:jc w:val="center"/>
        <w:rPr>
          <w:rFonts w:ascii="仿宋_GB2312" w:eastAsia="仿宋_GB2312" w:hAnsi="Calibri" w:cs="Times New Roman"/>
          <w:b/>
          <w:spacing w:val="-4"/>
          <w:sz w:val="32"/>
          <w:szCs w:val="32"/>
          <w:lang w:val="en-GB"/>
        </w:rPr>
      </w:pPr>
      <w:r w:rsidRPr="00312054">
        <w:rPr>
          <w:rFonts w:ascii="仿宋_GB2312" w:eastAsia="仿宋_GB2312" w:hAnsi="Calibri" w:cs="Times New Roman" w:hint="eastAsia"/>
          <w:b/>
          <w:spacing w:val="-4"/>
          <w:sz w:val="32"/>
          <w:szCs w:val="32"/>
          <w:lang w:val="en-GB"/>
        </w:rPr>
        <w:t>第一节 注释</w:t>
      </w:r>
    </w:p>
    <w:p w:rsidR="00B84C82" w:rsidRPr="00312054" w:rsidRDefault="00B84C82" w:rsidP="00B84C82">
      <w:pPr>
        <w:spacing w:line="560" w:lineRule="exact"/>
        <w:ind w:leftChars="100" w:left="210" w:rightChars="100" w:right="210" w:firstLineChars="200" w:firstLine="640"/>
        <w:rPr>
          <w:rFonts w:ascii="仿宋_GB2312" w:eastAsia="仿宋_GB2312" w:hAnsi="Calibri" w:cs="Times New Roman"/>
          <w:sz w:val="32"/>
          <w:szCs w:val="32"/>
        </w:rPr>
      </w:pPr>
      <w:r w:rsidRPr="00312054">
        <w:rPr>
          <w:rFonts w:ascii="仿宋_GB2312" w:eastAsia="仿宋_GB2312" w:hAnsi="Calibri" w:cs="Times New Roman" w:hint="eastAsia"/>
          <w:sz w:val="32"/>
          <w:szCs w:val="32"/>
        </w:rPr>
        <w:t>一、废碎料（包括未具体列名的废碎料）应当适用完全获得标准。</w:t>
      </w:r>
    </w:p>
    <w:p w:rsidR="00B84C82" w:rsidRPr="00312054" w:rsidRDefault="00B84C82" w:rsidP="00B84C82">
      <w:pPr>
        <w:spacing w:line="560" w:lineRule="exact"/>
        <w:ind w:leftChars="100" w:left="210" w:rightChars="100" w:right="210" w:firstLineChars="200" w:firstLine="640"/>
        <w:rPr>
          <w:rFonts w:ascii="仿宋_GB2312" w:eastAsia="仿宋_GB2312" w:hAnsi="Calibri" w:cs="Times New Roman"/>
          <w:sz w:val="32"/>
          <w:szCs w:val="32"/>
        </w:rPr>
      </w:pPr>
      <w:r w:rsidRPr="00312054">
        <w:rPr>
          <w:rFonts w:ascii="仿宋_GB2312" w:eastAsia="仿宋_GB2312" w:hAnsi="Calibri" w:cs="Times New Roman" w:hint="eastAsia"/>
          <w:sz w:val="32"/>
          <w:szCs w:val="32"/>
        </w:rPr>
        <w:t>二、税则归类改变要求仅适用于非原产材料。</w:t>
      </w:r>
    </w:p>
    <w:p w:rsidR="00B84C82" w:rsidRPr="00312054" w:rsidRDefault="00B84C82" w:rsidP="00B84C82">
      <w:pPr>
        <w:spacing w:line="560" w:lineRule="exact"/>
        <w:ind w:leftChars="100" w:left="210" w:rightChars="100" w:right="210" w:firstLineChars="200" w:firstLine="640"/>
        <w:rPr>
          <w:rFonts w:ascii="仿宋_GB2312" w:eastAsia="仿宋_GB2312" w:hAnsi="Calibri" w:cs="Times New Roman"/>
          <w:sz w:val="32"/>
          <w:szCs w:val="32"/>
        </w:rPr>
      </w:pPr>
      <w:r w:rsidRPr="00312054">
        <w:rPr>
          <w:rFonts w:ascii="仿宋_GB2312" w:eastAsia="仿宋_GB2312" w:hAnsi="Calibri" w:cs="Times New Roman" w:hint="eastAsia"/>
          <w:sz w:val="32"/>
          <w:szCs w:val="32"/>
        </w:rPr>
        <w:t xml:space="preserve">三、就产品特定原产地规则而言： </w:t>
      </w:r>
    </w:p>
    <w:p w:rsidR="00B84C82" w:rsidRPr="00312054" w:rsidRDefault="00B84C82" w:rsidP="00B84C82">
      <w:pPr>
        <w:tabs>
          <w:tab w:val="left" w:pos="709"/>
        </w:tabs>
        <w:autoSpaceDN w:val="0"/>
        <w:adjustRightInd w:val="0"/>
        <w:snapToGrid w:val="0"/>
        <w:spacing w:line="560" w:lineRule="exact"/>
        <w:ind w:firstLineChars="200" w:firstLine="640"/>
        <w:rPr>
          <w:rFonts w:ascii="仿宋_GB2312" w:eastAsia="仿宋_GB2312" w:hAnsi="Calibri" w:cs="Times New Roman"/>
          <w:sz w:val="32"/>
          <w:szCs w:val="32"/>
        </w:rPr>
      </w:pPr>
      <w:r w:rsidRPr="00312054">
        <w:rPr>
          <w:rFonts w:ascii="仿宋_GB2312" w:eastAsia="仿宋_GB2312" w:hAnsi="Calibri" w:cs="Times New Roman" w:hint="eastAsia"/>
          <w:sz w:val="32"/>
          <w:szCs w:val="32"/>
        </w:rPr>
        <w:t>“章改变”表示从任何其他章改变至本章。这表示用于生产货物的所有非原产材料进行了协调制度编码两位数级的税则归类改变。</w:t>
      </w:r>
    </w:p>
    <w:p w:rsidR="00B84C82" w:rsidRPr="00312054" w:rsidRDefault="00B84C82" w:rsidP="00B84C82">
      <w:pPr>
        <w:tabs>
          <w:tab w:val="left" w:pos="709"/>
        </w:tabs>
        <w:autoSpaceDN w:val="0"/>
        <w:adjustRightInd w:val="0"/>
        <w:snapToGrid w:val="0"/>
        <w:spacing w:line="560" w:lineRule="exact"/>
        <w:ind w:firstLineChars="200" w:firstLine="640"/>
        <w:rPr>
          <w:rFonts w:ascii="仿宋_GB2312" w:eastAsia="仿宋_GB2312" w:hAnsi="Calibri" w:cs="Times New Roman"/>
          <w:sz w:val="32"/>
          <w:szCs w:val="32"/>
        </w:rPr>
      </w:pPr>
      <w:r w:rsidRPr="00312054">
        <w:rPr>
          <w:rFonts w:ascii="仿宋_GB2312" w:eastAsia="仿宋_GB2312" w:hAnsi="Calibri" w:cs="Times New Roman" w:hint="eastAsia"/>
          <w:sz w:val="32"/>
          <w:szCs w:val="32"/>
        </w:rPr>
        <w:t>“品目改变”表示从任何其他品目改变至本品目。这表示用于生产货物的所有非原产材料进行了协调制度编码四位数级的税则归类改变。</w:t>
      </w:r>
    </w:p>
    <w:p w:rsidR="00B84C82" w:rsidRPr="00312054" w:rsidRDefault="00B84C82" w:rsidP="00B84C82">
      <w:pPr>
        <w:tabs>
          <w:tab w:val="left" w:pos="709"/>
        </w:tabs>
        <w:autoSpaceDN w:val="0"/>
        <w:adjustRightInd w:val="0"/>
        <w:snapToGrid w:val="0"/>
        <w:spacing w:line="560" w:lineRule="exact"/>
        <w:ind w:firstLineChars="200" w:firstLine="640"/>
        <w:rPr>
          <w:rFonts w:ascii="仿宋_GB2312" w:eastAsia="仿宋_GB2312" w:hAnsi="Calibri" w:cs="Times New Roman"/>
          <w:sz w:val="32"/>
          <w:szCs w:val="32"/>
        </w:rPr>
      </w:pPr>
      <w:r w:rsidRPr="00312054">
        <w:rPr>
          <w:rFonts w:ascii="仿宋_GB2312" w:eastAsia="仿宋_GB2312" w:hAnsi="Calibri" w:cs="Times New Roman" w:hint="eastAsia"/>
          <w:sz w:val="32"/>
          <w:szCs w:val="32"/>
        </w:rPr>
        <w:t>“子目改变”表示从任何其他子目改变至本子目。这表示用于生产货物的所有非原产材料进行了协调制度编码六位数级的税则归类改变。</w:t>
      </w:r>
    </w:p>
    <w:p w:rsidR="00B84C82" w:rsidRPr="00312054" w:rsidRDefault="00B84C82" w:rsidP="00B84C82">
      <w:pPr>
        <w:tabs>
          <w:tab w:val="left" w:pos="709"/>
        </w:tabs>
        <w:autoSpaceDN w:val="0"/>
        <w:adjustRightInd w:val="0"/>
        <w:snapToGrid w:val="0"/>
        <w:spacing w:line="560" w:lineRule="exact"/>
        <w:ind w:firstLineChars="200" w:firstLine="640"/>
        <w:rPr>
          <w:rFonts w:ascii="仿宋_GB2312" w:eastAsia="仿宋_GB2312" w:hAnsi="Calibri" w:cs="Times New Roman"/>
          <w:sz w:val="32"/>
          <w:szCs w:val="32"/>
        </w:rPr>
      </w:pPr>
      <w:r w:rsidRPr="00312054">
        <w:rPr>
          <w:rFonts w:ascii="仿宋_GB2312" w:eastAsia="仿宋_GB2312" w:hAnsi="Calibri" w:cs="Times New Roman" w:hint="eastAsia"/>
          <w:sz w:val="32"/>
          <w:szCs w:val="32"/>
        </w:rPr>
        <w:t>“区域价值成分百分比”表示根据本办法第六条进行计算的区域价值成分的最小百分比要求。</w:t>
      </w:r>
    </w:p>
    <w:p w:rsidR="00B84C82" w:rsidRPr="00312054" w:rsidRDefault="00B84C82" w:rsidP="00B84C82">
      <w:pPr>
        <w:widowControl/>
        <w:autoSpaceDN w:val="0"/>
        <w:spacing w:line="560" w:lineRule="exact"/>
        <w:ind w:firstLineChars="200" w:firstLine="640"/>
        <w:rPr>
          <w:rFonts w:ascii="仿宋_GB2312" w:eastAsia="仿宋_GB2312" w:hAnsi="Calibri" w:cs="Times New Roman"/>
          <w:kern w:val="0"/>
          <w:sz w:val="32"/>
          <w:szCs w:val="32"/>
        </w:rPr>
      </w:pPr>
      <w:r w:rsidRPr="00312054">
        <w:rPr>
          <w:rFonts w:ascii="仿宋_GB2312" w:eastAsia="仿宋_GB2312" w:hAnsi="Calibri" w:cs="Times New Roman" w:hint="eastAsia"/>
          <w:sz w:val="32"/>
          <w:szCs w:val="32"/>
        </w:rPr>
        <w:t>四、产品特定原产地规则以2017版的协调制度为基础制定</w:t>
      </w:r>
      <w:r w:rsidRPr="00312054">
        <w:rPr>
          <w:rFonts w:ascii="仿宋_GB2312" w:eastAsia="仿宋_GB2312" w:hAnsi="Calibri" w:cs="Times New Roman" w:hint="eastAsia"/>
          <w:kern w:val="0"/>
          <w:sz w:val="32"/>
          <w:szCs w:val="32"/>
        </w:rPr>
        <w:t>。</w:t>
      </w:r>
    </w:p>
    <w:p w:rsidR="00B84C82" w:rsidRPr="00312054" w:rsidRDefault="00B84C82" w:rsidP="00B84C82">
      <w:pPr>
        <w:widowControl/>
        <w:spacing w:line="560" w:lineRule="exact"/>
        <w:jc w:val="left"/>
        <w:rPr>
          <w:rFonts w:ascii="仿宋_GB2312" w:eastAsia="仿宋_GB2312" w:hAnsi="Calibri" w:cs="Times New Roman"/>
          <w:sz w:val="32"/>
          <w:szCs w:val="32"/>
        </w:rPr>
      </w:pPr>
      <w:r w:rsidRPr="00312054">
        <w:rPr>
          <w:rFonts w:ascii="仿宋_GB2312" w:eastAsia="仿宋_GB2312" w:hAnsi="Calibri" w:cs="Times New Roman" w:hint="eastAsia"/>
          <w:sz w:val="32"/>
          <w:szCs w:val="32"/>
        </w:rPr>
        <w:br w:type="page"/>
      </w:r>
    </w:p>
    <w:p w:rsidR="00B84C82" w:rsidRPr="00312054" w:rsidRDefault="00B84C82" w:rsidP="00B84C82">
      <w:pPr>
        <w:tabs>
          <w:tab w:val="left" w:pos="567"/>
        </w:tabs>
        <w:autoSpaceDN w:val="0"/>
        <w:spacing w:line="560" w:lineRule="exact"/>
        <w:jc w:val="center"/>
        <w:rPr>
          <w:rFonts w:ascii="仿宋_GB2312" w:eastAsia="仿宋_GB2312" w:hAnsi="Calibri" w:cs="Times New Roman"/>
          <w:b/>
          <w:spacing w:val="-4"/>
          <w:sz w:val="32"/>
          <w:szCs w:val="32"/>
          <w:lang w:val="en-GB"/>
        </w:rPr>
      </w:pPr>
      <w:r w:rsidRPr="00312054">
        <w:rPr>
          <w:rFonts w:ascii="仿宋_GB2312" w:eastAsia="仿宋_GB2312" w:hAnsi="Calibri" w:cs="Times New Roman" w:hint="eastAsia"/>
          <w:b/>
          <w:spacing w:val="-4"/>
          <w:sz w:val="32"/>
          <w:szCs w:val="32"/>
          <w:lang w:val="en-GB"/>
        </w:rPr>
        <w:lastRenderedPageBreak/>
        <w:t>第二节 产品特定原产地规则</w:t>
      </w:r>
    </w:p>
    <w:p w:rsidR="00B84C82" w:rsidRPr="00312054" w:rsidRDefault="00B84C82" w:rsidP="00B84C82">
      <w:pPr>
        <w:tabs>
          <w:tab w:val="left" w:pos="567"/>
        </w:tabs>
        <w:autoSpaceDN w:val="0"/>
        <w:spacing w:line="560" w:lineRule="exact"/>
        <w:ind w:firstLine="602"/>
        <w:jc w:val="center"/>
        <w:rPr>
          <w:rFonts w:ascii="仿宋_GB2312" w:eastAsia="仿宋_GB2312" w:hAnsi="Calibri" w:cs="宋体"/>
          <w:kern w:val="0"/>
          <w:sz w:val="32"/>
          <w:szCs w:val="32"/>
        </w:rPr>
      </w:pPr>
    </w:p>
    <w:tbl>
      <w:tblPr>
        <w:tblStyle w:val="a"/>
        <w:tblW w:w="7985" w:type="dxa"/>
        <w:tblLook w:val="0000"/>
      </w:tblPr>
      <w:tblGrid>
        <w:gridCol w:w="1792"/>
        <w:gridCol w:w="3590"/>
        <w:gridCol w:w="2603"/>
      </w:tblGrid>
      <w:tr w:rsidR="00B84C82" w:rsidRPr="00312054" w:rsidTr="00E24041">
        <w:trPr>
          <w:cantSplit/>
          <w:trHeight w:val="330"/>
          <w:tblHeader/>
        </w:trPr>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b/>
                <w:bCs/>
                <w:kern w:val="0"/>
                <w:sz w:val="32"/>
                <w:szCs w:val="32"/>
              </w:rPr>
            </w:pPr>
            <w:r w:rsidRPr="00312054">
              <w:rPr>
                <w:rFonts w:ascii="仿宋_GB2312" w:eastAsia="仿宋_GB2312" w:hAnsi="Calibri" w:cs="Times New Roman" w:hint="eastAsia"/>
                <w:b/>
                <w:bCs/>
                <w:kern w:val="0"/>
                <w:sz w:val="32"/>
                <w:szCs w:val="32"/>
              </w:rPr>
              <w:t>协调制度编码</w:t>
            </w:r>
          </w:p>
        </w:tc>
        <w:tc>
          <w:tcPr>
            <w:tcW w:w="3590" w:type="dxa"/>
            <w:tcBorders>
              <w:top w:val="single" w:sz="4" w:space="0" w:color="auto"/>
              <w:left w:val="nil"/>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宋体"/>
                <w:b/>
                <w:bCs/>
                <w:kern w:val="0"/>
                <w:sz w:val="32"/>
                <w:szCs w:val="32"/>
              </w:rPr>
            </w:pPr>
            <w:r w:rsidRPr="00312054">
              <w:rPr>
                <w:rFonts w:ascii="仿宋_GB2312" w:eastAsia="仿宋_GB2312" w:hAnsi="Calibri" w:cs="宋体" w:hint="eastAsia"/>
                <w:b/>
                <w:bCs/>
                <w:kern w:val="0"/>
                <w:sz w:val="32"/>
                <w:szCs w:val="32"/>
              </w:rPr>
              <w:t>货品名称</w:t>
            </w:r>
          </w:p>
        </w:tc>
        <w:tc>
          <w:tcPr>
            <w:tcW w:w="2603" w:type="dxa"/>
            <w:tcBorders>
              <w:top w:val="single" w:sz="4" w:space="0" w:color="auto"/>
              <w:left w:val="nil"/>
              <w:bottom w:val="single" w:sz="4" w:space="0" w:color="auto"/>
              <w:right w:val="single" w:sz="4" w:space="0" w:color="auto"/>
            </w:tcBorders>
            <w:shd w:val="clear" w:color="auto" w:fill="auto"/>
            <w:noWrap/>
            <w:vAlign w:val="center"/>
          </w:tcPr>
          <w:p w:rsidR="00B84C82" w:rsidRPr="00634B65" w:rsidRDefault="00B84C82" w:rsidP="00E24041">
            <w:pPr>
              <w:widowControl/>
              <w:jc w:val="center"/>
              <w:rPr>
                <w:rFonts w:ascii="仿宋_GB2312" w:eastAsia="仿宋_GB2312" w:hAnsi="Calibri" w:cs="Times New Roman"/>
                <w:b/>
                <w:bCs/>
                <w:kern w:val="0"/>
                <w:sz w:val="32"/>
                <w:szCs w:val="32"/>
              </w:rPr>
            </w:pPr>
            <w:r w:rsidRPr="00634B65">
              <w:rPr>
                <w:rFonts w:ascii="仿宋_GB2312" w:eastAsia="仿宋_GB2312" w:hAnsi="Calibri" w:cs="Times New Roman" w:hint="eastAsia"/>
                <w:b/>
                <w:kern w:val="0"/>
                <w:sz w:val="32"/>
                <w:szCs w:val="32"/>
              </w:rPr>
              <w:t>标准</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第01章</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活动物</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章改变</w:t>
            </w:r>
          </w:p>
        </w:tc>
      </w:tr>
      <w:tr w:rsidR="00B84C82" w:rsidRPr="00312054" w:rsidTr="00E24041">
        <w:trPr>
          <w:cantSplit/>
          <w:trHeight w:val="6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第02章</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肉和食用杂碎</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章改变，但从第1章改变至此除外</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03.01</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活鱼</w:t>
            </w:r>
          </w:p>
        </w:tc>
        <w:tc>
          <w:tcPr>
            <w:tcW w:w="2603" w:type="dxa"/>
            <w:tcBorders>
              <w:top w:val="nil"/>
              <w:left w:val="nil"/>
              <w:bottom w:val="single" w:sz="4" w:space="0" w:color="auto"/>
              <w:right w:val="single" w:sz="4" w:space="0" w:color="auto"/>
            </w:tcBorders>
            <w:shd w:val="clear" w:color="auto" w:fill="auto"/>
            <w:noWrap/>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章改变</w:t>
            </w:r>
          </w:p>
        </w:tc>
      </w:tr>
      <w:tr w:rsidR="00B84C82" w:rsidRPr="00312054" w:rsidTr="00E24041">
        <w:trPr>
          <w:cantSplit/>
          <w:trHeight w:val="6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03.02</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新鲜或冷藏的鱼，但品目03.04的鱼片和其他鱼肉除外</w:t>
            </w:r>
          </w:p>
        </w:tc>
        <w:tc>
          <w:tcPr>
            <w:tcW w:w="2603" w:type="dxa"/>
            <w:tcBorders>
              <w:top w:val="nil"/>
              <w:left w:val="nil"/>
              <w:bottom w:val="single" w:sz="4" w:space="0" w:color="auto"/>
              <w:right w:val="single" w:sz="4" w:space="0" w:color="auto"/>
            </w:tcBorders>
            <w:shd w:val="clear" w:color="auto" w:fill="auto"/>
            <w:noWrap/>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章改变</w:t>
            </w:r>
          </w:p>
        </w:tc>
      </w:tr>
      <w:tr w:rsidR="00B84C82" w:rsidRPr="00312054" w:rsidTr="00E24041">
        <w:trPr>
          <w:cantSplit/>
          <w:trHeight w:val="3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03.03</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冻鱼，但品目03.04的鱼片和其他鱼肉除外</w:t>
            </w:r>
          </w:p>
        </w:tc>
        <w:tc>
          <w:tcPr>
            <w:tcW w:w="2603" w:type="dxa"/>
            <w:tcBorders>
              <w:top w:val="nil"/>
              <w:left w:val="nil"/>
              <w:bottom w:val="single" w:sz="4" w:space="0" w:color="auto"/>
              <w:right w:val="single" w:sz="4" w:space="0" w:color="auto"/>
            </w:tcBorders>
            <w:shd w:val="clear" w:color="auto" w:fill="auto"/>
            <w:noWrap/>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章改变</w:t>
            </w:r>
          </w:p>
        </w:tc>
      </w:tr>
      <w:tr w:rsidR="00B84C82" w:rsidRPr="00312054" w:rsidTr="00E24041">
        <w:trPr>
          <w:cantSplit/>
          <w:trHeight w:val="6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03.04</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鲜、冷、冻鱼片及其他鱼肉（不论是否搅碎）</w:t>
            </w:r>
          </w:p>
        </w:tc>
        <w:tc>
          <w:tcPr>
            <w:tcW w:w="2603" w:type="dxa"/>
            <w:tcBorders>
              <w:top w:val="nil"/>
              <w:left w:val="nil"/>
              <w:bottom w:val="single" w:sz="4" w:space="0" w:color="auto"/>
              <w:right w:val="single" w:sz="4" w:space="0" w:color="auto"/>
            </w:tcBorders>
            <w:shd w:val="clear" w:color="auto" w:fill="auto"/>
            <w:noWrap/>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章改变</w:t>
            </w:r>
          </w:p>
        </w:tc>
      </w:tr>
      <w:tr w:rsidR="00B84C82" w:rsidRPr="00312054" w:rsidTr="00E24041">
        <w:trPr>
          <w:cantSplit/>
          <w:trHeight w:val="9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03.05</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干、盐腌或盐渍的鱼；熏鱼，不论在熏制前或熏制过程中是否烹煮；适合供人所食用的鱼的细粉、粗粉及团粒</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18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03.06</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带壳或去壳的甲壳动物，活、鲜、冷、冻、干、盐腌或盐渍的；熏制的带壳或去壳甲壳动物，不论在熏制前或熏制过程中是否烹煮；蒸过或煮过的带壳甲壳动物，无论是否冷、冻、干、盐腌或盐渍的；适合供人食用的甲壳动物的细粉，粗粉及团粒</w:t>
            </w:r>
          </w:p>
        </w:tc>
        <w:tc>
          <w:tcPr>
            <w:tcW w:w="2603" w:type="dxa"/>
            <w:tcBorders>
              <w:top w:val="nil"/>
              <w:left w:val="nil"/>
              <w:bottom w:val="single" w:sz="4" w:space="0" w:color="auto"/>
              <w:right w:val="single" w:sz="4" w:space="0" w:color="auto"/>
            </w:tcBorders>
            <w:shd w:val="clear" w:color="auto" w:fill="auto"/>
            <w:noWrap/>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章改变</w:t>
            </w:r>
          </w:p>
        </w:tc>
      </w:tr>
      <w:tr w:rsidR="00B84C82" w:rsidRPr="00312054" w:rsidTr="00E24041">
        <w:trPr>
          <w:cantSplit/>
          <w:trHeight w:val="15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lastRenderedPageBreak/>
              <w:t>03.07</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带壳或去壳的软体动物，活、鲜、冷、冻、干、盐腌或盐渍的；熏制的带壳或去壳软体动物，不论在熏制前或熏制过程中是否烹煮； 适合供人食用的软体动物的细粉，粗粉及团粒</w:t>
            </w:r>
          </w:p>
        </w:tc>
        <w:tc>
          <w:tcPr>
            <w:tcW w:w="2603" w:type="dxa"/>
            <w:tcBorders>
              <w:top w:val="nil"/>
              <w:left w:val="nil"/>
              <w:bottom w:val="single" w:sz="4" w:space="0" w:color="auto"/>
              <w:right w:val="single" w:sz="4" w:space="0" w:color="auto"/>
            </w:tcBorders>
            <w:shd w:val="clear" w:color="auto" w:fill="auto"/>
            <w:noWrap/>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章改变</w:t>
            </w:r>
          </w:p>
        </w:tc>
      </w:tr>
      <w:tr w:rsidR="00B84C82" w:rsidRPr="00312054" w:rsidTr="00E24041">
        <w:trPr>
          <w:cantSplit/>
          <w:trHeight w:val="21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03.08</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不属于甲壳动物和软体动物的水生无脊柱动物，活、鲜、冷、冻、干、盐腌或盐渍的；熏制的不属于甲壳动物和软体动物的水生无脊柱动物，不论在熏制前或熏制过程中是否烹煮； 适合供人食用的不属于甲壳动物和软体动物的水生无脊柱动物的细粉，粗粉及团粒</w:t>
            </w:r>
          </w:p>
        </w:tc>
        <w:tc>
          <w:tcPr>
            <w:tcW w:w="2603" w:type="dxa"/>
            <w:tcBorders>
              <w:top w:val="nil"/>
              <w:left w:val="nil"/>
              <w:bottom w:val="single" w:sz="4" w:space="0" w:color="auto"/>
              <w:right w:val="single" w:sz="4" w:space="0" w:color="auto"/>
            </w:tcBorders>
            <w:shd w:val="clear" w:color="auto" w:fill="auto"/>
            <w:noWrap/>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章改变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第04章</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乳品；蛋品；天然蜂蜜；其他动物食用产品</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章改变</w:t>
            </w:r>
          </w:p>
        </w:tc>
      </w:tr>
      <w:tr w:rsidR="00B84C82" w:rsidRPr="00312054" w:rsidTr="00E24041">
        <w:trPr>
          <w:cantSplit/>
          <w:trHeight w:val="6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09.01</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咖啡，不论是否焙炒或浸除咖啡碱；咖啡豆荚及咖啡豆皮；含咖啡的咖啡代用品</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09.02</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茶，不论是否加香料</w:t>
            </w:r>
          </w:p>
        </w:tc>
        <w:tc>
          <w:tcPr>
            <w:tcW w:w="2603" w:type="dxa"/>
            <w:tcBorders>
              <w:top w:val="nil"/>
              <w:left w:val="nil"/>
              <w:bottom w:val="single" w:sz="4" w:space="0" w:color="auto"/>
              <w:right w:val="single" w:sz="4" w:space="0" w:color="auto"/>
            </w:tcBorders>
            <w:shd w:val="clear" w:color="auto" w:fill="auto"/>
            <w:noWrap/>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第10章</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谷物</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章改变</w:t>
            </w:r>
          </w:p>
        </w:tc>
      </w:tr>
      <w:tr w:rsidR="00B84C82" w:rsidRPr="00312054" w:rsidTr="00E24041">
        <w:trPr>
          <w:cantSplit/>
          <w:trHeight w:val="6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第11章</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制粉工业产品；麦芽；淀粉；菊粉；面筋</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章改变，但从第7、10章改变至此除外</w:t>
            </w:r>
          </w:p>
        </w:tc>
      </w:tr>
      <w:tr w:rsidR="00B84C82" w:rsidRPr="00312054" w:rsidTr="00E24041">
        <w:trPr>
          <w:cantSplit/>
          <w:trHeight w:val="6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第12章</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含油子仁及果实；杂项子仁及果实；工业用或药用植物；稻草、秸秆及饲料</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章改变</w:t>
            </w:r>
          </w:p>
        </w:tc>
      </w:tr>
      <w:tr w:rsidR="00B84C82" w:rsidRPr="00312054" w:rsidTr="00E24041">
        <w:trPr>
          <w:cantSplit/>
          <w:trHeight w:val="6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lastRenderedPageBreak/>
              <w:t>第15章</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动、植物油、脂及其分解产品；精制的食用油脂；动、植物蜡</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章改变，但从第11、12章改变至此除外</w:t>
            </w:r>
          </w:p>
        </w:tc>
      </w:tr>
      <w:tr w:rsidR="00B84C82" w:rsidRPr="00312054" w:rsidTr="00E24041">
        <w:trPr>
          <w:cantSplit/>
          <w:trHeight w:val="6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第16章</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肉、鱼、甲壳动物，软体动物及其他水生无脊柱动物的制品</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17.01</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固体甘蔗糖、甜菜糖及化学纯蔗糖</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章改变，但从第12章改变至此除外</w:t>
            </w:r>
          </w:p>
        </w:tc>
      </w:tr>
      <w:tr w:rsidR="00B84C82" w:rsidRPr="00312054" w:rsidTr="00E24041">
        <w:trPr>
          <w:cantSplit/>
          <w:trHeight w:val="9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17.02</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其他固体糖，包括化学纯乳糖、麦芽糖、葡萄糖及果糖；未加香料或着色剂的糖浆；人造蜜，不论是否掺有天然蜂蜜；焦糖</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章改变</w:t>
            </w:r>
          </w:p>
        </w:tc>
      </w:tr>
      <w:tr w:rsidR="00B84C82" w:rsidRPr="00312054" w:rsidTr="00E24041">
        <w:trPr>
          <w:cantSplit/>
          <w:trHeight w:val="310"/>
        </w:trPr>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17.04</w:t>
            </w:r>
          </w:p>
        </w:tc>
        <w:tc>
          <w:tcPr>
            <w:tcW w:w="3590" w:type="dxa"/>
            <w:tcBorders>
              <w:top w:val="single" w:sz="4" w:space="0" w:color="auto"/>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不含可可的糖食（包括白巧克力）</w:t>
            </w:r>
          </w:p>
        </w:tc>
        <w:tc>
          <w:tcPr>
            <w:tcW w:w="2603" w:type="dxa"/>
            <w:tcBorders>
              <w:top w:val="single" w:sz="4" w:space="0" w:color="auto"/>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20"/>
        </w:trPr>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1901.10</w:t>
            </w:r>
          </w:p>
        </w:tc>
        <w:tc>
          <w:tcPr>
            <w:tcW w:w="3590" w:type="dxa"/>
            <w:tcBorders>
              <w:top w:val="single" w:sz="4" w:space="0" w:color="auto"/>
              <w:left w:val="single" w:sz="4" w:space="0" w:color="auto"/>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供婴幼儿食用的零售包装食品</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章改变，但从第4章改变至此除外</w:t>
            </w:r>
          </w:p>
        </w:tc>
      </w:tr>
      <w:tr w:rsidR="00B84C82" w:rsidRPr="00312054" w:rsidTr="00E24041">
        <w:trPr>
          <w:cantSplit/>
          <w:trHeight w:val="1200"/>
        </w:trPr>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19.02</w:t>
            </w:r>
          </w:p>
        </w:tc>
        <w:tc>
          <w:tcPr>
            <w:tcW w:w="3590" w:type="dxa"/>
            <w:tcBorders>
              <w:top w:val="single" w:sz="4" w:space="0" w:color="auto"/>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 xml:space="preserve">面食，不论是否煮熟、包馅（肉馅或其他馅）或其他方法制作。例如，通心粉、意大利面条、面条、汤团、馄饨、饺子、奶油面卷；古斯古斯面食，无论是否制作 </w:t>
            </w:r>
          </w:p>
        </w:tc>
        <w:tc>
          <w:tcPr>
            <w:tcW w:w="2603" w:type="dxa"/>
            <w:tcBorders>
              <w:top w:val="single" w:sz="4" w:space="0" w:color="auto"/>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品目改变或者区域价值成分不低于40%</w:t>
            </w:r>
          </w:p>
        </w:tc>
      </w:tr>
      <w:tr w:rsidR="00B84C82" w:rsidRPr="00312054" w:rsidTr="00E24041">
        <w:trPr>
          <w:cantSplit/>
          <w:trHeight w:val="6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19.03</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珍粉及淀粉制成的珍粉代用品，片、粒、珠、粉或类似形状的</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品目改变或者区域价值成分不低于40%</w:t>
            </w:r>
          </w:p>
        </w:tc>
      </w:tr>
      <w:tr w:rsidR="00B84C82" w:rsidRPr="00312054" w:rsidTr="00E24041">
        <w:trPr>
          <w:cantSplit/>
          <w:trHeight w:val="15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lastRenderedPageBreak/>
              <w:t>19.04</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谷物或谷物产品经膨化或烘炒制成的食品（例如玉米片）；其他品目未列明的预煮或经其他方法制作的谷粒（玉米除外），谷物片或经其他加工的谷粒（细粉、粗粒及粗粉除外）</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品目改变或者区域价值成分不低于40%</w:t>
            </w:r>
          </w:p>
        </w:tc>
      </w:tr>
      <w:tr w:rsidR="00B84C82" w:rsidRPr="00312054" w:rsidTr="00E24041">
        <w:trPr>
          <w:cantSplit/>
          <w:trHeight w:val="9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19.05</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面包、糕点、饼干及其他烘焙糕饼，不论是否含可可；圣餐饼、装药空囊、封缄、糯米纸及类似制品</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品目改变或者区域价值成分不低于40%</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第20章</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蔬菜、水果、坚果或植物其他部分的制品</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2101.20</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茶、马黛茶浓缩精汁及以其为基本成分或以茶、马黛茶为基本成分的制品</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品目改变或者区域价值成分不低于40%</w:t>
            </w:r>
          </w:p>
        </w:tc>
      </w:tr>
      <w:tr w:rsidR="00B84C82" w:rsidRPr="00312054" w:rsidTr="00E24041">
        <w:trPr>
          <w:cantSplit/>
          <w:trHeight w:val="6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2101.30</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烘焙菊苣和其他烘焙咖啡代用品及其浓缩精汁</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品目改变或者区域价值成分不低于40%</w:t>
            </w:r>
          </w:p>
        </w:tc>
      </w:tr>
      <w:tr w:rsidR="00B84C82" w:rsidRPr="00312054" w:rsidTr="00E24041">
        <w:trPr>
          <w:cantSplit/>
          <w:trHeight w:val="6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21.02</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酵母（活性或非活性）；已死的其他单细胞微生物（不包括品目30.02的疫苗）；发酵粉</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品目改变或者区域价值成分不低于40%</w:t>
            </w:r>
          </w:p>
        </w:tc>
      </w:tr>
      <w:tr w:rsidR="00B84C82" w:rsidRPr="00312054" w:rsidTr="00E24041">
        <w:trPr>
          <w:cantSplit/>
          <w:trHeight w:val="6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21.03</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调味汁及其制品；混合调味品；芥子粉及其调制品</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品目改变或者区域价值成分不低于40%</w:t>
            </w:r>
          </w:p>
        </w:tc>
      </w:tr>
      <w:tr w:rsidR="00B84C82" w:rsidRPr="00312054" w:rsidTr="00E24041">
        <w:trPr>
          <w:cantSplit/>
          <w:trHeight w:val="6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21.04</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汤料及其制品；均化混合食品</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品目改变或者区域价值成分不低于40%</w:t>
            </w:r>
          </w:p>
        </w:tc>
      </w:tr>
      <w:tr w:rsidR="00B84C82" w:rsidRPr="00312054" w:rsidTr="00E24041">
        <w:trPr>
          <w:cantSplit/>
          <w:trHeight w:val="6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lastRenderedPageBreak/>
              <w:t>21.05</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冰淇淋及其他冰制食品，不论是否含可可</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品目改变或者区域价值成分不低于40%</w:t>
            </w:r>
          </w:p>
        </w:tc>
      </w:tr>
      <w:tr w:rsidR="00B84C82" w:rsidRPr="00312054" w:rsidTr="00E24041">
        <w:trPr>
          <w:cantSplit/>
          <w:trHeight w:val="6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21.06</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其他品目未列名的食品</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品目改变或者区域价值成分不低于40%</w:t>
            </w:r>
          </w:p>
        </w:tc>
      </w:tr>
      <w:tr w:rsidR="00B84C82" w:rsidRPr="00312054" w:rsidTr="00E24041">
        <w:trPr>
          <w:cantSplit/>
          <w:trHeight w:val="6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22.01</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未加糖或其他甜物质及未加味的水，包括天然或人造矿泉水及汽水；冰及雪</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9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22.02</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加味、加糖或其他甜物质的水，包括矿泉水及汽水，其他无酒精饮料，但不包括品目20.09的水果汁或蔬菜汁</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22.03</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麦芽酿造的啤酒</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22.04</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鲜葡萄酿造的酒，包括加酒精的；品目20.09以外的酿酒葡萄汁</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22.05</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味美思酒及其他加植物或香料的用鲜葡萄酿造的酒</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9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22.06</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其他发酵饮料（例如，苹果酒、梨酒、蜂蜜酒）；其他品目未列名的发酵饮料的混合物及发酵饮料与无酒精饮料的混合物</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22.07</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未改性乙醇，按容量计酒精浓度在80％及以上；任何浓度的改性乙醇及其他酒精</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品目改变，但从品目22.08改变至此除外</w:t>
            </w:r>
          </w:p>
        </w:tc>
      </w:tr>
      <w:tr w:rsidR="00B84C82" w:rsidRPr="00312054" w:rsidTr="00E24041">
        <w:trPr>
          <w:cantSplit/>
          <w:trHeight w:val="6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22.08</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未改性乙醇，按容量计酒精浓度在80％以下；蒸馏酒、利口酒及其他酒精饮料</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品目改变或者区域价值成分不低于40%</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lastRenderedPageBreak/>
              <w:t>22.09</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醋及用醋酸制得的醋代用品</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15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30.01</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已干燥的器官疗法用腺体及其他器官，不论是否制成粉末；器官疗法用腺体、其他器官及其分泌物的提取物；肝素及其盐；其他供治疗或预防疾病用的其他品目未列名的人体或动物制品</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品目改变或者区域价值成分不低于40%</w:t>
            </w:r>
          </w:p>
        </w:tc>
      </w:tr>
      <w:tr w:rsidR="00B84C82" w:rsidRPr="00312054" w:rsidTr="00E24041">
        <w:trPr>
          <w:cantSplit/>
          <w:trHeight w:val="12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30.02</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人血；治病防病或诊断用的动物血制品；抗血清、其他血份及免疫制品，不论是否修饰或通过生物工艺加工制得；疫苗、毒素、培养微生物（不包括酵母）及类似产品</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品目改变或者区域价值成分不低于40%</w:t>
            </w:r>
          </w:p>
        </w:tc>
      </w:tr>
      <w:tr w:rsidR="00B84C82" w:rsidRPr="00312054" w:rsidTr="00E24041">
        <w:trPr>
          <w:cantSplit/>
          <w:trHeight w:val="9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30.05</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软填料、纱布、绷带及类似物品（例如，敷料、橡皮膏、泥罨剂），经过药物浸涂或制成零售包装供医疗、外科、牙科或兽医用</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品目改变或者区域价值成分不低于40%</w:t>
            </w:r>
          </w:p>
        </w:tc>
      </w:tr>
      <w:tr w:rsidR="00B84C82" w:rsidRPr="00312054" w:rsidTr="00E24041">
        <w:trPr>
          <w:cantSplit/>
          <w:trHeight w:val="6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30.06</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本章注释四所规定的医药用品</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品目改变或者区域价值成分不低于40%</w:t>
            </w:r>
          </w:p>
        </w:tc>
      </w:tr>
      <w:tr w:rsidR="00B84C82" w:rsidRPr="00312054" w:rsidTr="00E24041">
        <w:trPr>
          <w:cantSplit/>
          <w:trHeight w:val="9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31.01</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动物或植物肥料，不论是否相互混合或经化学处理；动植物产品经混合或化学处理制成的肥料</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31.02</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矿物氮肥及化学氮肥</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品目改变或者区域价值成分不低于40%</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lastRenderedPageBreak/>
              <w:t>31.03</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矿物磷肥及化学磷肥</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31.04</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矿物钾肥及化学钾肥</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第33章</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精油及香膏；芳香料制品及化妆盥洗品</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9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第34章</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肥皂、有机表面活性剂、洗涤剂、润滑剂、人造蜡、调制蜡、光洁剂、蜡烛及类似品、塑形用膏、“牙科用蜡”及牙科用熟石膏制剂</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9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37.01</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未曝光的摄影感光硬片及平面软片，用纸、纸板及纺织物以外的任何材料制成；未曝光的一次成像感光平片，不论是否分装</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品目改变，但从子目3707.10改变至此除外</w:t>
            </w:r>
          </w:p>
        </w:tc>
      </w:tr>
      <w:tr w:rsidR="00B84C82" w:rsidRPr="00312054" w:rsidTr="00E24041">
        <w:trPr>
          <w:cantSplit/>
          <w:trHeight w:val="9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37.02</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成卷的未曝光摄像感光胶片，用纸、纸板及纺织物以外的任何材料制成；未曝光的一次成像感光卷片</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品目改变，但从子目3707.10改变至此除外</w:t>
            </w:r>
          </w:p>
        </w:tc>
      </w:tr>
      <w:tr w:rsidR="00B84C82" w:rsidRPr="00312054" w:rsidTr="00E24041">
        <w:trPr>
          <w:cantSplit/>
          <w:trHeight w:val="6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37.03</w:t>
            </w:r>
          </w:p>
        </w:tc>
        <w:tc>
          <w:tcPr>
            <w:tcW w:w="3590" w:type="dxa"/>
            <w:tcBorders>
              <w:top w:val="nil"/>
              <w:left w:val="nil"/>
              <w:bottom w:val="nil"/>
              <w:right w:val="nil"/>
            </w:tcBorders>
            <w:shd w:val="clear" w:color="auto" w:fill="auto"/>
            <w:noWrap/>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未曝光的摄像感光纸、纸板及纺织物</w:t>
            </w:r>
          </w:p>
        </w:tc>
        <w:tc>
          <w:tcPr>
            <w:tcW w:w="2603" w:type="dxa"/>
            <w:tcBorders>
              <w:top w:val="nil"/>
              <w:left w:val="single" w:sz="4" w:space="0" w:color="auto"/>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品目改变，但从子目3707.10改变至此除外</w:t>
            </w:r>
          </w:p>
        </w:tc>
      </w:tr>
      <w:tr w:rsidR="00B84C82" w:rsidRPr="00312054" w:rsidTr="00E24041">
        <w:trPr>
          <w:cantSplit/>
          <w:trHeight w:val="9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39.16</w:t>
            </w:r>
          </w:p>
        </w:tc>
        <w:tc>
          <w:tcPr>
            <w:tcW w:w="3590" w:type="dxa"/>
            <w:tcBorders>
              <w:top w:val="single" w:sz="4" w:space="0" w:color="auto"/>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塑料制的单丝（截面直径超过1毫米）、条、杆、型材及异型材，不论是否经表面加工，但未经其他加工</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39.17</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塑料制的管子及其附件（例如，接头，肘管，法兰）</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39.18</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块状或成卷的塑料铺地制品，不论是否胶粘；本章注释九所规定的塑料糊墙品</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lastRenderedPageBreak/>
              <w:t>39.19</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自粘的塑料板、片、膜、箔、带、扁条及其他扁平形状材料，不论是否成卷</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9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39.20</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其他非泡沫塑料的板、片、膜、箔及扁条，未用其他材料强化、层压、支撑或用类似方法合制</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39.21</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其他塑料板、片、膜、箔、扁条</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9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39.22</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塑料浴缸、淋浴盘、洗漱槽、盥洗盆、坐浴盆、便盆、马桶座圈及盖、抽水箱及类似卫生洁具</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39.23</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供运输或包装货物用的塑料制品；塑料制的塞子、盖子及类似品</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39.24</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塑料制的餐具、厨房用具、其他家用具及卫生或盥洗用具</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39.25</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其他品目未列名的建筑用塑料制品</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39.26</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其他塑料制品及品目39.01至39.14所列其他材料的制品</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9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40.01</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天然橡胶、巴拉塔胶、古塔波胶、银胶菊胶、糖胶树胶及类似的天然树胶，初级形状或板、片、带</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章改变</w:t>
            </w:r>
          </w:p>
        </w:tc>
      </w:tr>
      <w:tr w:rsidR="00B84C82" w:rsidRPr="00312054" w:rsidTr="00E24041">
        <w:trPr>
          <w:cantSplit/>
          <w:trHeight w:val="6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lastRenderedPageBreak/>
              <w:t>第</w:t>
            </w:r>
            <w:r w:rsidRPr="00312054">
              <w:rPr>
                <w:rFonts w:ascii="Calibri" w:eastAsia="仿宋_GB2312" w:hAnsi="Calibri" w:cs="Times New Roman" w:hint="eastAsia"/>
                <w:kern w:val="0"/>
                <w:sz w:val="28"/>
                <w:szCs w:val="28"/>
              </w:rPr>
              <w:t> </w:t>
            </w:r>
            <w:r w:rsidRPr="00312054">
              <w:rPr>
                <w:rFonts w:ascii="仿宋_GB2312" w:eastAsia="仿宋_GB2312" w:hAnsi="Calibri" w:cs="Times New Roman" w:hint="eastAsia"/>
                <w:kern w:val="0"/>
                <w:sz w:val="28"/>
                <w:szCs w:val="28"/>
              </w:rPr>
              <w:t>42章</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皮革制品；鞍具及挽具；旅行用品、手提包及类似容器；动物肠线（蚕胶丝除外）制品</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50.01</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适于缫丝的蚕茧</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章改变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50.02</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生丝（未加捻）</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章改变</w:t>
            </w:r>
          </w:p>
        </w:tc>
      </w:tr>
      <w:tr w:rsidR="00B84C82" w:rsidRPr="00312054" w:rsidTr="00E24041">
        <w:trPr>
          <w:cantSplit/>
          <w:trHeight w:val="6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50.03</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废丝（包括不适于缫丝的蚕茧、废纱及回收纤维）</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章改变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50.04</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丝纱线（绢纺纱线除外），非供零售用</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50.05</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绢纺纱线，非供零售用</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50.06</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丝纱线及绢纺纱线，供零售用；蚕胶丝</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50.07</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丝或绢丝机织物</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51.01</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未梳的羊毛</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章改变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51.02</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未梳的动物细毛或粗毛</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章改变</w:t>
            </w:r>
          </w:p>
        </w:tc>
      </w:tr>
      <w:tr w:rsidR="00B84C82" w:rsidRPr="00312054" w:rsidTr="00E24041">
        <w:trPr>
          <w:cantSplit/>
          <w:trHeight w:val="6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51.03</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羊毛或动物细毛或粗毛的废料，包括废纱线，但不包括回收纤维</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章改变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51.04</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羊毛或动物细毛或粗毛的回收纤维</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章改变</w:t>
            </w:r>
          </w:p>
        </w:tc>
      </w:tr>
      <w:tr w:rsidR="00B84C82" w:rsidRPr="00312054" w:rsidTr="00E24041">
        <w:trPr>
          <w:cantSplit/>
          <w:trHeight w:val="6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51.05</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已梳的羊毛及动物细毛或粗毛（包括精梳片毛）</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章改变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51.06</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粗梳羊毛纱线，非供零售用</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51.07</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精梳羊毛纱线，非供零售用</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lastRenderedPageBreak/>
              <w:t>51.08</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动物细毛（粗梳或精梳）纱线，非供零售用</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4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51.09</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羊毛或动物细毛的纱线，供零售用</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品目改变，但从品目51.06至51.08改变至此除外</w:t>
            </w:r>
          </w:p>
        </w:tc>
      </w:tr>
      <w:tr w:rsidR="00B84C82" w:rsidRPr="00312054" w:rsidTr="00E24041">
        <w:trPr>
          <w:cantSplit/>
          <w:trHeight w:val="6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51.10</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动物粗毛或马毛的纱线（包括马毛粗松螺旋花线），不论是否供零售用</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51.11</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粗梳羊毛或粗梳动物细毛的机织物</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51.12</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精梳羊毛或精梳动物细毛的机织物</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51.13</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动物粗毛或马毛的机织物</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52.01</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未梳的棉花</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章改变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52.02</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废棉（包括废棉纱线及回收纤维）</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章改变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52.03</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已梳的棉花</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章改变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52.04</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棉制缝纫线，不论是否供零售用</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52.05</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棉纱线（缝纫线除外），按重量计含棉量在85%以上，非供零售用</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52.06</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棉纱线（缝纫线除外），按重量计含棉量在85%以下，非供零售用</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4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52.07</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 xml:space="preserve">棉纱线（缝纫线除外），供零售用 </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品目改变，但从品目52.05至52.06改变至此除外</w:t>
            </w:r>
          </w:p>
        </w:tc>
      </w:tr>
      <w:tr w:rsidR="00B84C82" w:rsidRPr="00312054" w:rsidTr="00E24041">
        <w:trPr>
          <w:cantSplit/>
          <w:trHeight w:val="64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lastRenderedPageBreak/>
              <w:t>52.08</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棉机织物，按重量计含棉量在85%及以上，每平方米重量不超过 200 克</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4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52.09</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棉机织物，按重量计含棉量在85%及以上，每平方米重量超过 200 克</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96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52.10</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棉机织物，按重量计含棉量在85%以下，主要或仅与化学纤维混纺，每平方米重量不超过 200 克</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96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52.11</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棉机织物，按重量计含棉量在85%以下，主要或仅与化学纤维混纺，每平方米重量超过 200 克</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52.12</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其他棉机织物</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第53章</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其他植物纺织纤维；纸纱线及其机织物</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54.01</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化学纤维长丝纺制的缝纫线，不论是否供零售用</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9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54.02</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合成纤维长丝纱线（缝纫线除外），非供零售用，包括细度在67分特以下的合成纤维单丝</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9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54.03</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人造纤维长丝纱线（缝纫线除外），非供零售用，包括细度在67分特以下的人造纤维单丝</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124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lastRenderedPageBreak/>
              <w:t>54.04</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截面尺寸不超过1毫米，细度在67分特及以上的合成纤维单丝；表观宽度不超过5 毫米的合成纤维纺织材料制扁条及类似品（例如人造草）</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128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54.05</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截面尺寸不超过1毫米，细度在67分特及以上的人造纤维单丝；表观宽度不超过5 毫米的人造纤维纺织材料制扁条及类似品 （例如人造草）</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4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54.06</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化学纤维长丝纱线（缝纫线除外），供零售用</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品目改变，但从品目54.02至54.05改变至此除外</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55.01</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合成纤维长丝丝束</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55.02</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人造纤维长丝丝束</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55.03</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合成纤维短纤，未梳或未经其他纺前加工</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55.04</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人造纤维短纤，未梳或未经其他纺前加工</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55.05</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化学纤维废料（包括落棉、废纱及回收纤维）</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55.06</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合成纤维短纤，已梳或经其他纺前加工</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55.07</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人造纤维短纤，已梳或经其他纺前加工</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55.08</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化学纤维短纤纺制的缝纫线，不论是否供零售用</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lastRenderedPageBreak/>
              <w:t>55.09</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合成纤维短纤纺制的纱线（缝纫线除外），非供零售用</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55.10</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人造纤维短纤纺制的纱线（缝纫线除外），非供零售用</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4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55.11</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化学纤维短纤纺制的纱线（缝纫线除外），供零售用</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品目改变，但从品目55.09至55.10改变至此除外</w:t>
            </w:r>
          </w:p>
        </w:tc>
      </w:tr>
      <w:tr w:rsidR="00B84C82" w:rsidRPr="00312054" w:rsidTr="00E24041">
        <w:trPr>
          <w:cantSplit/>
          <w:trHeight w:val="6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55.12</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合成纤维短纤纺制的机织物，按重量计合成纤维短纤含量在85%及以上</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94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55.13</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合成纤维短纤纺制的机织物，按重量计合成纤维短纤含量在85%以下，主要或仅与棉混纺 ，每平方米重量不超过170克</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94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55.14</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合成纤维短纤纺制的机织物，按重量计合成纤维短纤含量在85%以下，主要或仅与棉混纺，每平方米重量超过170克</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55.15</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合成纤维短纤纺制的其他机织物</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55.16</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人造纤维短纤纺制的机织物</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第56章</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絮胎、毡呢及无纺织物；特种纱线；线、绳、索、缆及其制品</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第57章</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地毯及纺织材料的其他铺地制品</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lastRenderedPageBreak/>
              <w:t>第58章</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特种机织物；簇绒织物；花边；装饰毯；装饰带；刺绣品</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第59章</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浸渍、涂布、包覆或层压的纺织物；工业用纺织制品</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第60章</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针织物及钩编织物</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第61章</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针织或钩编的服装及衣着附件</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第62章</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非针织或非钩编的服装及衣着附件</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第63章</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其他纺织制成品；成套物品；旧衣着及旧纺织品；碎织物</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9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71.01</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天然或养殖珍珠，不论是否加工或分级，但未成串或镶嵌；天然或养殖珍珠，为便于运输而暂穿成串</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7102.10</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 未分级</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7102.21</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 未加工或经简单锯开、劈开或粗磨</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9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7102.29</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 其他</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子目改变，只要货物被切割、研磨或以其他方式加工成最终形状</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7102.31</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 未加工或经简单锯开或粗制成形</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9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7102.39</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 其他</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子目改变，只要货物被切割、研磨或以其他方式加工成最终形状</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lastRenderedPageBreak/>
              <w:t>7103.10</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 未加工或经简单锯开或粗制成形</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9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7103.91</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 红宝石 、蓝宝石 、祖母绿</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子目改变，只要货物被切割、研磨或以其他方式加工成最终形状</w:t>
            </w:r>
          </w:p>
        </w:tc>
      </w:tr>
      <w:tr w:rsidR="00B84C82" w:rsidRPr="00312054" w:rsidTr="00E24041">
        <w:trPr>
          <w:cantSplit/>
          <w:trHeight w:val="9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7103.99</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 其他</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子目改变，只要货物被切割、研磨或以其他方式加工成最终形状</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7104.10</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 压电石英</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7104.20</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 其他，未加工或经简单锯开或粗制成形</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9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7104.90</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 其他</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子目改变，只要货物被切割、研磨或以其他方式加工成最终形状</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71.05</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天然或合成的宝石或半宝石的粉末</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71.06</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银（包括镀金 、镀铂的银），未锻造 、半制成或粉末状</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71.07</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以贱金属为底的包银材料</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71.08</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金（包括镀铂的金），未锻造、半制成或粉末状</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71.09</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以贱金属或银为底的包金材料</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71.10</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铂，未锻造、半制成或粉末状</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bl>
    <w:tbl>
      <w:tblPr>
        <w:tblW w:w="7985" w:type="dxa"/>
        <w:tblLook w:val="0000"/>
      </w:tblPr>
      <w:tblGrid>
        <w:gridCol w:w="1792"/>
        <w:gridCol w:w="3590"/>
        <w:gridCol w:w="2603"/>
      </w:tblGrid>
      <w:tr w:rsidR="00B84C82" w:rsidRPr="00312054" w:rsidTr="00E24041">
        <w:trPr>
          <w:cantSplit/>
          <w:trHeight w:val="6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lastRenderedPageBreak/>
              <w:t>71.11</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以贱金属、银或金为底的包铂材料</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9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71.12</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贵金属或包贵金属的废碎料；含有贵金属或贵金属化合物的其他废碎料，主要用于回收贵金属</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71.13</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贵金属或包贵金属制的首饰及其零件</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71.14</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贵金属或包贵金属制的金银器及其零件</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71.15</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贵金属或包贵金属的其他制品</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0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71.16</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用天然或养殖珍珠、宝石或半宝石（天然、合成或再造）制成的物品</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napToGrid w:val="0"/>
              <w:spacing w:line="400" w:lineRule="exact"/>
              <w:jc w:val="lef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71.17</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仿首饰</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品目改变或者区域价值成分不低于40%</w:t>
            </w:r>
          </w:p>
        </w:tc>
      </w:tr>
      <w:tr w:rsidR="00B84C82" w:rsidRPr="00312054" w:rsidTr="00E24041">
        <w:trPr>
          <w:cantSplit/>
          <w:trHeight w:val="31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71.18</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硬币</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w:t>
            </w:r>
          </w:p>
        </w:tc>
      </w:tr>
      <w:tr w:rsidR="00B84C82" w:rsidRPr="00312054" w:rsidTr="00E24041">
        <w:trPr>
          <w:cantSplit/>
          <w:trHeight w:val="620"/>
        </w:trPr>
        <w:tc>
          <w:tcPr>
            <w:tcW w:w="1792" w:type="dxa"/>
            <w:tcBorders>
              <w:top w:val="nil"/>
              <w:left w:val="single" w:sz="4" w:space="0" w:color="auto"/>
              <w:bottom w:val="single" w:sz="4" w:space="0" w:color="auto"/>
              <w:right w:val="single" w:sz="4" w:space="0" w:color="auto"/>
            </w:tcBorders>
            <w:shd w:val="clear" w:color="auto" w:fill="auto"/>
            <w:noWrap/>
            <w:vAlign w:val="center"/>
          </w:tcPr>
          <w:p w:rsidR="00B84C82" w:rsidRPr="00312054" w:rsidRDefault="00B84C82" w:rsidP="00E24041">
            <w:pPr>
              <w:widowControl/>
              <w:jc w:val="center"/>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第91章</w:t>
            </w:r>
          </w:p>
        </w:tc>
        <w:tc>
          <w:tcPr>
            <w:tcW w:w="3590"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钟表及其零件</w:t>
            </w:r>
          </w:p>
        </w:tc>
        <w:tc>
          <w:tcPr>
            <w:tcW w:w="2603" w:type="dxa"/>
            <w:tcBorders>
              <w:top w:val="nil"/>
              <w:left w:val="nil"/>
              <w:bottom w:val="single" w:sz="4" w:space="0" w:color="auto"/>
              <w:right w:val="single" w:sz="4" w:space="0" w:color="auto"/>
            </w:tcBorders>
            <w:shd w:val="clear" w:color="auto" w:fill="auto"/>
            <w:vAlign w:val="center"/>
          </w:tcPr>
          <w:p w:rsidR="00B84C82" w:rsidRPr="00312054" w:rsidRDefault="00B84C82" w:rsidP="00E24041">
            <w:pPr>
              <w:widowControl/>
              <w:spacing w:line="400" w:lineRule="exact"/>
              <w:rPr>
                <w:rFonts w:ascii="仿宋_GB2312" w:eastAsia="仿宋_GB2312" w:hAnsi="Calibri" w:cs="Times New Roman"/>
                <w:kern w:val="0"/>
                <w:sz w:val="28"/>
                <w:szCs w:val="28"/>
              </w:rPr>
            </w:pPr>
            <w:r w:rsidRPr="00312054">
              <w:rPr>
                <w:rFonts w:ascii="仿宋_GB2312" w:eastAsia="仿宋_GB2312" w:hAnsi="Calibri" w:cs="Times New Roman" w:hint="eastAsia"/>
                <w:kern w:val="0"/>
                <w:sz w:val="28"/>
                <w:szCs w:val="28"/>
              </w:rPr>
              <w:t>品目改变或者区域价值成分不低于40%</w:t>
            </w:r>
          </w:p>
        </w:tc>
      </w:tr>
    </w:tbl>
    <w:p w:rsidR="00B84C82" w:rsidRPr="00312054" w:rsidRDefault="00B84C82" w:rsidP="00B84C82">
      <w:pPr>
        <w:spacing w:line="360" w:lineRule="auto"/>
        <w:ind w:leftChars="100" w:left="210" w:rightChars="100" w:right="210" w:firstLineChars="200" w:firstLine="560"/>
        <w:rPr>
          <w:rFonts w:ascii="仿宋_GB2312" w:eastAsia="仿宋_GB2312" w:hAnsi="Calibri" w:cs="Times New Roman"/>
          <w:sz w:val="28"/>
          <w:szCs w:val="28"/>
        </w:rPr>
      </w:pPr>
    </w:p>
    <w:p w:rsidR="00B84C82" w:rsidRPr="00312054" w:rsidRDefault="00B84C82" w:rsidP="00B84C82">
      <w:pPr>
        <w:jc w:val="left"/>
        <w:rPr>
          <w:rFonts w:ascii="仿宋_GB2312" w:eastAsia="仿宋_GB2312" w:hAnsi="黑体"/>
          <w:sz w:val="28"/>
          <w:szCs w:val="28"/>
        </w:rPr>
      </w:pPr>
    </w:p>
    <w:p w:rsidR="00B84C82" w:rsidRPr="00312054" w:rsidRDefault="00B84C82" w:rsidP="00B84C82">
      <w:pPr>
        <w:ind w:firstLine="151"/>
        <w:jc w:val="left"/>
        <w:rPr>
          <w:rFonts w:ascii="仿宋_GB2312" w:eastAsia="仿宋_GB2312" w:hAnsi="黑体"/>
          <w:sz w:val="28"/>
          <w:szCs w:val="28"/>
        </w:rPr>
      </w:pPr>
    </w:p>
    <w:p w:rsidR="00B84C82" w:rsidRPr="00CB3847" w:rsidRDefault="00B84C82" w:rsidP="00B84C82">
      <w:pPr>
        <w:ind w:firstLine="113"/>
      </w:pPr>
    </w:p>
    <w:p w:rsidR="009A023E" w:rsidRDefault="009A023E" w:rsidP="002175AE">
      <w:pPr>
        <w:ind w:firstLine="113"/>
      </w:pPr>
    </w:p>
    <w:sectPr w:rsidR="009A023E" w:rsidSect="007A02B1">
      <w:footerReference w:type="even" r:id="rId4"/>
      <w:footerReference w:type="default" r:id="rId5"/>
      <w:pgSz w:w="11906" w:h="16838"/>
      <w:pgMar w:top="1440" w:right="1800" w:bottom="1440" w:left="1800"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256942"/>
    </w:sdtPr>
    <w:sdtEndPr>
      <w:rPr>
        <w:rFonts w:asciiTheme="minorEastAsia" w:hAnsiTheme="minorEastAsia"/>
        <w:sz w:val="28"/>
        <w:szCs w:val="28"/>
      </w:rPr>
    </w:sdtEndPr>
    <w:sdtContent>
      <w:p w:rsidR="00DC64C9" w:rsidRDefault="00B84C82">
        <w:pPr>
          <w:pStyle w:val="a4"/>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Pr="00BD77AC">
          <w:rPr>
            <w:rFonts w:asciiTheme="minorEastAsia" w:hAnsiTheme="minorEastAsia"/>
            <w:noProof/>
            <w:sz w:val="28"/>
            <w:szCs w:val="28"/>
            <w:lang w:val="zh-CN"/>
          </w:rPr>
          <w:t>-</w:t>
        </w:r>
        <w:r>
          <w:rPr>
            <w:rFonts w:asciiTheme="minorEastAsia" w:hAnsiTheme="minorEastAsia"/>
            <w:noProof/>
            <w:sz w:val="28"/>
            <w:szCs w:val="28"/>
          </w:rPr>
          <w:t xml:space="preserve"> 34 -</w:t>
        </w:r>
        <w:r>
          <w:rPr>
            <w:rFonts w:asciiTheme="minorEastAsia" w:hAnsiTheme="minorEastAsia"/>
            <w:sz w:val="28"/>
            <w:szCs w:val="28"/>
          </w:rPr>
          <w:fldChar w:fldCharType="end"/>
        </w:r>
      </w:p>
    </w:sdtContent>
  </w:sdt>
  <w:p w:rsidR="00DC64C9" w:rsidRDefault="00B84C8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256938"/>
    </w:sdtPr>
    <w:sdtEndPr>
      <w:rPr>
        <w:rFonts w:asciiTheme="minorEastAsia" w:hAnsiTheme="minorEastAsia"/>
        <w:sz w:val="28"/>
        <w:szCs w:val="28"/>
      </w:rPr>
    </w:sdtEndPr>
    <w:sdtContent>
      <w:p w:rsidR="00DC64C9" w:rsidRDefault="00B84C82">
        <w:pPr>
          <w:pStyle w:val="a4"/>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Pr="00B84C82">
          <w:rPr>
            <w:rFonts w:asciiTheme="minorEastAsia" w:hAnsiTheme="minorEastAsia"/>
            <w:noProof/>
            <w:sz w:val="28"/>
            <w:szCs w:val="28"/>
            <w:lang w:val="zh-CN"/>
          </w:rPr>
          <w:t>-</w:t>
        </w:r>
        <w:r>
          <w:rPr>
            <w:rFonts w:asciiTheme="minorEastAsia" w:hAnsiTheme="minorEastAsia"/>
            <w:noProof/>
            <w:sz w:val="28"/>
            <w:szCs w:val="28"/>
          </w:rPr>
          <w:t xml:space="preserve"> 1 -</w:t>
        </w:r>
        <w:r>
          <w:rPr>
            <w:rFonts w:asciiTheme="minorEastAsia" w:hAnsiTheme="minorEastAsia"/>
            <w:sz w:val="28"/>
            <w:szCs w:val="28"/>
          </w:rPr>
          <w:fldChar w:fldCharType="end"/>
        </w:r>
      </w:p>
    </w:sdtContent>
  </w:sdt>
  <w:p w:rsidR="00DC64C9" w:rsidRDefault="00B84C82">
    <w:pPr>
      <w:pStyle w:val="a4"/>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024"/>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4C82"/>
    <w:rsid w:val="00024CC9"/>
    <w:rsid w:val="001A61C4"/>
    <w:rsid w:val="00204210"/>
    <w:rsid w:val="002175AE"/>
    <w:rsid w:val="0053663C"/>
    <w:rsid w:val="009A023E"/>
    <w:rsid w:val="00B84C82"/>
    <w:rsid w:val="00C627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pPr>
        <w:ind w:firstLineChars="54" w:firstLine="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C82"/>
    <w:pPr>
      <w:widowControl w:val="0"/>
      <w:ind w:firstLineChars="0" w:firstLine="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qFormat/>
    <w:rsid w:val="001A61C4"/>
    <w:pP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3"/>
    <w:uiPriority w:val="99"/>
    <w:semiHidden/>
    <w:rsid w:val="001A61C4"/>
    <w:rPr>
      <w:rFonts w:ascii="Calibri" w:eastAsia="宋体" w:hAnsi="Calibri" w:cs="Times New Roman"/>
      <w:sz w:val="18"/>
      <w:szCs w:val="18"/>
    </w:rPr>
  </w:style>
  <w:style w:type="paragraph" w:styleId="a4">
    <w:name w:val="footer"/>
    <w:basedOn w:val="a"/>
    <w:link w:val="Char0"/>
    <w:uiPriority w:val="99"/>
    <w:unhideWhenUsed/>
    <w:qFormat/>
    <w:rsid w:val="00B84C8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84C82"/>
    <w:rPr>
      <w:sz w:val="18"/>
      <w:szCs w:val="18"/>
    </w:rPr>
  </w:style>
  <w:style w:type="paragraph" w:styleId="a5">
    <w:name w:val="Balloon Text"/>
    <w:basedOn w:val="a"/>
    <w:link w:val="Char1"/>
    <w:uiPriority w:val="99"/>
    <w:semiHidden/>
    <w:unhideWhenUsed/>
    <w:rsid w:val="00B84C82"/>
    <w:rPr>
      <w:sz w:val="18"/>
      <w:szCs w:val="18"/>
    </w:rPr>
  </w:style>
  <w:style w:type="character" w:customStyle="1" w:styleId="Char1">
    <w:name w:val="批注框文本 Char"/>
    <w:basedOn w:val="a0"/>
    <w:link w:val="a5"/>
    <w:uiPriority w:val="99"/>
    <w:semiHidden/>
    <w:rsid w:val="00B84C8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1056</Words>
  <Characters>6023</Characters>
  <Application>Microsoft Office Word</Application>
  <DocSecurity>0</DocSecurity>
  <Lines>50</Lines>
  <Paragraphs>14</Paragraphs>
  <ScaleCrop>false</ScaleCrop>
  <Company/>
  <LinksUpToDate>false</LinksUpToDate>
  <CharactersWithSpaces>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pojkhggf</dc:creator>
  <cp:lastModifiedBy>pojkhggf</cp:lastModifiedBy>
  <cp:revision>1</cp:revision>
  <dcterms:created xsi:type="dcterms:W3CDTF">2020-12-24T02:00:00Z</dcterms:created>
  <dcterms:modified xsi:type="dcterms:W3CDTF">2020-12-24T02:00:00Z</dcterms:modified>
</cp:coreProperties>
</file>